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8C1B" w14:textId="3602F38F" w:rsidR="00812BE9" w:rsidRPr="00F835C2" w:rsidRDefault="00812BE9" w:rsidP="006B0DCC">
      <w:pPr>
        <w:pStyle w:val="p1"/>
        <w:spacing w:line="276" w:lineRule="auto"/>
        <w:jc w:val="both"/>
        <w:rPr>
          <w:rStyle w:val="s1"/>
          <w:rFonts w:asciiTheme="minorHAnsi" w:hAnsiTheme="minorHAnsi"/>
          <w:b/>
          <w:color w:val="000000" w:themeColor="text1"/>
          <w:sz w:val="22"/>
          <w:szCs w:val="22"/>
        </w:rPr>
      </w:pPr>
      <w:r w:rsidRPr="00F835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"Do doctors </w:t>
      </w:r>
      <w:r w:rsidR="00046F15">
        <w:rPr>
          <w:rFonts w:asciiTheme="minorHAnsi" w:hAnsiTheme="minorHAnsi"/>
          <w:b/>
          <w:color w:val="000000" w:themeColor="text1"/>
          <w:sz w:val="22"/>
          <w:szCs w:val="22"/>
        </w:rPr>
        <w:t xml:space="preserve">and patients </w:t>
      </w:r>
      <w:r w:rsidRPr="00F835C2">
        <w:rPr>
          <w:rFonts w:asciiTheme="minorHAnsi" w:hAnsiTheme="minorHAnsi"/>
          <w:b/>
          <w:color w:val="000000" w:themeColor="text1"/>
          <w:sz w:val="22"/>
          <w:szCs w:val="22"/>
        </w:rPr>
        <w:t>have an obligation to take part in </w:t>
      </w:r>
      <w:r w:rsidRPr="00F835C2">
        <w:rPr>
          <w:rStyle w:val="gmail-il"/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pragmatic</w:t>
      </w:r>
      <w:r w:rsidRPr="00F835C2">
        <w:rPr>
          <w:rFonts w:asciiTheme="minorHAnsi" w:hAnsiTheme="minorHAnsi"/>
          <w:b/>
          <w:color w:val="000000" w:themeColor="text1"/>
          <w:sz w:val="22"/>
          <w:szCs w:val="22"/>
        </w:rPr>
        <w:t> RCTs?"</w:t>
      </w:r>
      <w:r w:rsidR="006A152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Yes</w:t>
      </w:r>
    </w:p>
    <w:p w14:paraId="77055399" w14:textId="1A5F9A41" w:rsidR="006B2B4B" w:rsidRPr="00F835C2" w:rsidRDefault="006B2B4B" w:rsidP="006B0DCC">
      <w:pPr>
        <w:pStyle w:val="p1"/>
        <w:spacing w:line="276" w:lineRule="auto"/>
        <w:jc w:val="both"/>
        <w:rPr>
          <w:rStyle w:val="s1"/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Marion K Campbell, Professor of Health Services Research, Health Services Research Unit, University of Aberdeen (m.k.campbell@abdn.ac.uk)</w:t>
      </w:r>
    </w:p>
    <w:p w14:paraId="0122AF48" w14:textId="77777777" w:rsidR="00130E34" w:rsidRPr="00F835C2" w:rsidRDefault="00130E34" w:rsidP="006B0DCC">
      <w:pPr>
        <w:pStyle w:val="p1"/>
        <w:spacing w:line="276" w:lineRule="auto"/>
        <w:jc w:val="both"/>
        <w:rPr>
          <w:rStyle w:val="s1"/>
          <w:rFonts w:asciiTheme="minorHAnsi" w:hAnsiTheme="minorHAnsi"/>
          <w:color w:val="000000" w:themeColor="text1"/>
          <w:sz w:val="22"/>
          <w:szCs w:val="22"/>
        </w:rPr>
      </w:pPr>
    </w:p>
    <w:p w14:paraId="11038E23" w14:textId="626161D5" w:rsidR="00896F7E" w:rsidRPr="00F835C2" w:rsidRDefault="00896F7E" w:rsidP="006B0DCC">
      <w:pPr>
        <w:pStyle w:val="p1"/>
        <w:spacing w:line="276" w:lineRule="auto"/>
        <w:jc w:val="both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The primary aim of clinical practice is to improve the health and wellbeing of patients, whether through prevention </w:t>
      </w:r>
      <w:r w:rsidR="00B311F8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or</w:t>
      </w: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treatment of disease.</w:t>
      </w:r>
      <w:r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  </w:t>
      </w: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Doctors require knowledge of the benefits (and potential harms) of different treatment options to inform their clinical decision-making.</w:t>
      </w:r>
      <w:r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  </w:t>
      </w: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Patients also require access to this information </w:t>
      </w:r>
      <w:r w:rsidR="00130E34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to make</w:t>
      </w: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an informed choice</w:t>
      </w:r>
      <w:r w:rsidR="00086C56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between different treatment options.</w:t>
      </w:r>
      <w:r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51D0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This knowledge base is generated from robust clinical research such as randomised controlled trials</w:t>
      </w:r>
      <w:r w:rsidR="00502122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(RCTs)</w:t>
      </w:r>
      <w:r w:rsidR="00F51D0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="00FD682C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For this knowledge base to </w:t>
      </w:r>
      <w:r w:rsidR="00502122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advance</w:t>
      </w:r>
      <w:r w:rsidR="00FD682C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as new treatments develop, doctors </w:t>
      </w:r>
      <w:r w:rsidR="00046F1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and patients </w:t>
      </w:r>
      <w:r w:rsidR="00F51D0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must be willing to take part in future studies.</w:t>
      </w:r>
    </w:p>
    <w:p w14:paraId="6533BBC0" w14:textId="77777777" w:rsidR="00E43FD7" w:rsidRDefault="00E43FD7" w:rsidP="006B0DCC">
      <w:pPr>
        <w:pStyle w:val="p1"/>
        <w:spacing w:line="276" w:lineRule="auto"/>
        <w:jc w:val="both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272DAFEC" w14:textId="6B5E58CC" w:rsidR="00D2758B" w:rsidRPr="00F835C2" w:rsidRDefault="00BE0D07" w:rsidP="006B0DCC">
      <w:pPr>
        <w:pStyle w:val="p1"/>
        <w:spacing w:line="276" w:lineRule="auto"/>
        <w:jc w:val="both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RCTs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are the most </w:t>
      </w:r>
      <w:r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rigorous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way to evaluate the </w:t>
      </w:r>
      <w:r w:rsidR="00FB1C00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effectiveness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of new treatments as they compare treatments in a fair and unbiased </w:t>
      </w:r>
      <w:r w:rsidR="00390E55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manner </w:t>
      </w:r>
      <w:r w:rsidR="00775A87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[1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].  There are many examples of RCTs which have </w:t>
      </w:r>
      <w:r w:rsidR="00B311F8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shown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treatments previously thought to be beneficial (prior to rigorous test</w:t>
      </w:r>
      <w:r w:rsidR="00390E55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ing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) to be of minimal benefit </w:t>
      </w:r>
      <w:r w:rsidR="00B311F8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or even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harmful (e</w:t>
      </w:r>
      <w:r w:rsidR="00086C56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.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g</w:t>
      </w:r>
      <w:r w:rsidR="00086C56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.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12BE9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oxygen therapy in acute myocardial infarction [</w:t>
      </w:r>
      <w:r w:rsidR="00775A87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2</w:t>
      </w:r>
      <w:r w:rsidR="00812BE9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]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).  Pragmatic RCTs </w:t>
      </w:r>
      <w:r w:rsidR="00641CFF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specifically </w:t>
      </w:r>
      <w:r w:rsidR="004941E2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evaluate different treatment options 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as they are deliver</w:t>
      </w:r>
      <w:r w:rsidR="004941E2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ed in routine clinical practice, address 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clinically relevant questions and</w:t>
      </w:r>
      <w:r w:rsidR="004941E2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12BE9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directly </w:t>
      </w:r>
      <w:r w:rsidR="00086C56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inform</w:t>
      </w:r>
      <w:r w:rsidR="00882910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71C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clinical 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decision-making</w:t>
      </w:r>
      <w:r w:rsidR="004941E2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[3]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.</w:t>
      </w:r>
      <w:r w:rsidR="00896F7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  </w:t>
      </w:r>
    </w:p>
    <w:p w14:paraId="772CBEFB" w14:textId="77777777" w:rsidR="00E43FD7" w:rsidRDefault="00E43FD7" w:rsidP="006B0DCC">
      <w:pPr>
        <w:pStyle w:val="p1"/>
        <w:spacing w:line="276" w:lineRule="auto"/>
        <w:jc w:val="both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7CBE28C2" w14:textId="05232415" w:rsidR="00B311F8" w:rsidRDefault="00FD5C5B" w:rsidP="006B0DCC">
      <w:pPr>
        <w:pStyle w:val="p1"/>
        <w:spacing w:line="276" w:lineRule="auto"/>
        <w:jc w:val="both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T</w:t>
      </w:r>
      <w:r w:rsidR="00896F7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rials can only be delivered</w:t>
      </w:r>
      <w:r w:rsidR="008C2D09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if</w:t>
      </w:r>
      <w:r w:rsidR="005D5E6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doctors and patients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take part</w:t>
      </w:r>
      <w:r w:rsidR="005D5E6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- w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ithout </w:t>
      </w:r>
      <w:r w:rsidR="00D2758B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their involvement</w:t>
      </w:r>
      <w:r w:rsidR="000C5B7D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>, this robust</w:t>
      </w:r>
      <w:r w:rsidR="004F4B80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896F7E" w:rsidRPr="00F835C2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clinical knowledge will not be realised. </w:t>
      </w:r>
      <w:r w:rsidR="00896F7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On a day-to-day basis doctors </w:t>
      </w:r>
      <w:r w:rsidR="00A339D8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use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, and </w:t>
      </w:r>
      <w:r w:rsidR="004D1BF3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their knowledge 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benefit</w:t>
      </w:r>
      <w:r w:rsidR="004D1BF3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s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directly from, information gathered </w:t>
      </w:r>
      <w:r w:rsidR="004D1BF3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previous trials (</w:t>
      </w:r>
      <w:r w:rsidR="00E43FD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e</w:t>
      </w:r>
      <w:r w:rsidR="004D1BF3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.</w:t>
      </w:r>
      <w:r w:rsidR="00E43FD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g</w:t>
      </w:r>
      <w:r w:rsidR="004D1BF3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.</w:t>
      </w:r>
      <w:r w:rsidR="00E43FD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through </w:t>
      </w:r>
      <w:r w:rsidR="004D1BF3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use of evidence-based clinical guidelines).  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If</w:t>
      </w:r>
      <w:r w:rsidR="003C1A74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,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as a society</w:t>
      </w:r>
      <w:r w:rsidR="003C1A74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,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we wish</w:t>
      </w:r>
      <w:r w:rsidR="00E43FD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healthcare to improve</w:t>
      </w:r>
      <w:r w:rsidR="00775A8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further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, there 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remains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a soci</w:t>
      </w:r>
      <w:r w:rsidR="000F3CD2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etal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need for doctors 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and patients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to continue to participate in such </w:t>
      </w:r>
      <w:r w:rsidR="000F3CD2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endeavours</w:t>
      </w:r>
      <w:r w:rsidR="00C74B3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.  One 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could </w:t>
      </w:r>
      <w:r w:rsidR="008401BB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also</w:t>
      </w:r>
      <w:r w:rsidR="003C1A74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C5B7D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appeal to the </w:t>
      </w:r>
      <w:r w:rsidR="004F4B8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concept of reciprocity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,</w:t>
      </w:r>
      <w:r w:rsidR="004F4B8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that </w:t>
      </w:r>
      <w:r w:rsidR="00B62DD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if 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one</w:t>
      </w:r>
      <w:r w:rsidR="00B62DD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benefits 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from </w:t>
      </w:r>
      <w:r w:rsidR="00502122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the participation of 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others they have a duty to </w:t>
      </w:r>
      <w:r w:rsidR="00B62DD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reciprocate [</w:t>
      </w:r>
      <w:r w:rsidR="00775A8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4</w:t>
      </w:r>
      <w:r w:rsidR="00B62DD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]</w:t>
      </w:r>
      <w:r w:rsidR="00C74B3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–</w:t>
      </w:r>
      <w:r w:rsidR="00C74B3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especially</w:t>
      </w:r>
      <w:r w:rsidR="00BE0D0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relevant</w:t>
      </w:r>
      <w:r w:rsidR="00C74B3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in a publicly funded health system such as the UK NHS</w:t>
      </w:r>
      <w:r w:rsidR="00B62DD0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.</w:t>
      </w:r>
      <w:r w:rsidR="004971CE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74B37" w:rsidRPr="00F835C2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344B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Harris [5] </w:t>
      </w:r>
      <w:r w:rsidR="008401BB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goes further and </w:t>
      </w:r>
      <w:r w:rsidR="00D4344B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argues that</w:t>
      </w:r>
      <w:r w:rsidR="008401BB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344B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there is a moral obligation on all of us to take part in medical research when that research is targeted to providing significant benefits to humankind.</w:t>
      </w:r>
    </w:p>
    <w:p w14:paraId="4CF302BE" w14:textId="77777777" w:rsidR="00046F15" w:rsidRDefault="00046F15" w:rsidP="006B0DCC">
      <w:pPr>
        <w:pStyle w:val="p1"/>
        <w:spacing w:line="276" w:lineRule="auto"/>
        <w:jc w:val="both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2234A7C4" w14:textId="1DDF9DFA" w:rsidR="00896F7E" w:rsidRPr="00F835C2" w:rsidRDefault="005D5E67" w:rsidP="006B0DCC">
      <w:pPr>
        <w:pStyle w:val="p1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There are benefits to patients and doctors </w:t>
      </w:r>
      <w:r w:rsidR="00502122" w:rsidRPr="00F835C2">
        <w:rPr>
          <w:rFonts w:asciiTheme="minorHAnsi" w:hAnsiTheme="minorHAnsi"/>
          <w:color w:val="000000" w:themeColor="text1"/>
          <w:sz w:val="22"/>
          <w:szCs w:val="22"/>
        </w:rPr>
        <w:t>from</w:t>
      </w:r>
      <w:r w:rsidR="000F3CD2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taking part in trials.  </w:t>
      </w:r>
      <w:r w:rsidR="005D0AC7" w:rsidRPr="00F835C2">
        <w:rPr>
          <w:rFonts w:asciiTheme="minorHAnsi" w:hAnsiTheme="minorHAnsi"/>
          <w:color w:val="000000" w:themeColor="text1"/>
          <w:sz w:val="22"/>
          <w:szCs w:val="22"/>
        </w:rPr>
        <w:t>A meta-ethnography of reasons why participant</w:t>
      </w:r>
      <w:r w:rsidR="00A339D8" w:rsidRPr="00F835C2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D0AC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>took</w:t>
      </w:r>
      <w:r w:rsidR="005D0AC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part in RCTs reported perceived benefits</w:t>
      </w:r>
      <w:r w:rsidR="001E4BB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such as increased </w:t>
      </w:r>
      <w:r w:rsidR="0000566B" w:rsidRPr="00F835C2">
        <w:rPr>
          <w:rFonts w:asciiTheme="minorHAnsi" w:hAnsiTheme="minorHAnsi"/>
          <w:color w:val="000000" w:themeColor="text1"/>
          <w:sz w:val="22"/>
          <w:szCs w:val="22"/>
        </w:rPr>
        <w:t>l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>evel</w:t>
      </w:r>
      <w:r w:rsidR="001E4BBB" w:rsidRPr="00F835C2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of follow-up </w:t>
      </w:r>
      <w:r w:rsidR="00D2758B" w:rsidRPr="00F835C2">
        <w:rPr>
          <w:rFonts w:asciiTheme="minorHAnsi" w:hAnsiTheme="minorHAnsi"/>
          <w:color w:val="000000" w:themeColor="text1"/>
          <w:sz w:val="22"/>
          <w:szCs w:val="22"/>
        </w:rPr>
        <w:t>and</w:t>
      </w:r>
      <w:r w:rsidR="001E4BB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increased consul</w:t>
      </w:r>
      <w:r w:rsidR="00D4344B">
        <w:rPr>
          <w:rFonts w:asciiTheme="minorHAnsi" w:hAnsiTheme="minorHAnsi"/>
          <w:color w:val="000000" w:themeColor="text1"/>
          <w:sz w:val="22"/>
          <w:szCs w:val="22"/>
        </w:rPr>
        <w:t>tation time [6</w:t>
      </w:r>
      <w:r w:rsidR="001E4BBB" w:rsidRPr="00F835C2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5D0AC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Doctors too benefit from </w:t>
      </w:r>
      <w:r w:rsidR="00780381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participation in clinical </w:t>
      </w:r>
      <w:r w:rsidR="00D2758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trials </w:t>
      </w:r>
      <w:r w:rsidR="00780381" w:rsidRPr="00F835C2">
        <w:rPr>
          <w:rFonts w:asciiTheme="minorHAnsi" w:hAnsiTheme="minorHAnsi"/>
          <w:color w:val="000000" w:themeColor="text1"/>
          <w:sz w:val="22"/>
          <w:szCs w:val="22"/>
        </w:rPr>
        <w:t>research</w:t>
      </w:r>
      <w:r w:rsidR="000973EA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; gaining </w:t>
      </w:r>
      <w:r w:rsidR="00780381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clinically relevant knowledge </w:t>
      </w:r>
      <w:r w:rsidR="000973EA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whilst 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>training in good clinical practice</w:t>
      </w:r>
      <w:r w:rsidR="000973EA" w:rsidRPr="00F835C2">
        <w:rPr>
          <w:rFonts w:asciiTheme="minorHAnsi" w:hAnsiTheme="minorHAnsi"/>
          <w:color w:val="000000" w:themeColor="text1"/>
          <w:sz w:val="22"/>
          <w:szCs w:val="22"/>
        </w:rPr>
        <w:t>;</w:t>
      </w:r>
      <w:r w:rsidR="003A63C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80381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experiencing </w:t>
      </w:r>
      <w:r w:rsidR="003A63C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780381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rigour </w:t>
      </w:r>
      <w:r w:rsidR="003A63CB" w:rsidRPr="00F835C2">
        <w:rPr>
          <w:rFonts w:asciiTheme="minorHAnsi" w:hAnsiTheme="minorHAnsi"/>
          <w:color w:val="000000" w:themeColor="text1"/>
          <w:sz w:val="22"/>
          <w:szCs w:val="22"/>
        </w:rPr>
        <w:t>of high quality clinical research</w:t>
      </w:r>
      <w:r w:rsidR="00B7513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BE0D0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learning </w:t>
      </w:r>
      <w:r w:rsidR="00B7513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how to apply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it</w:t>
      </w:r>
      <w:r w:rsidR="00B7513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0D07" w:rsidRPr="00F835C2">
        <w:rPr>
          <w:rFonts w:asciiTheme="minorHAnsi" w:hAnsiTheme="minorHAnsi"/>
          <w:color w:val="000000" w:themeColor="text1"/>
          <w:sz w:val="22"/>
          <w:szCs w:val="22"/>
        </w:rPr>
        <w:t>in their</w:t>
      </w:r>
      <w:r w:rsidR="00B7513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clinical practice</w:t>
      </w:r>
      <w:r w:rsidR="00D2758B" w:rsidRPr="00F835C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B311F8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With 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the advances in infrastructure to support the delivery of </w:t>
      </w:r>
      <w:r w:rsidR="00775A87" w:rsidRPr="00F835C2">
        <w:rPr>
          <w:rFonts w:asciiTheme="minorHAnsi" w:hAnsiTheme="minorHAnsi"/>
          <w:color w:val="000000" w:themeColor="text1"/>
          <w:sz w:val="22"/>
          <w:szCs w:val="22"/>
        </w:rPr>
        <w:t>RCTs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(e</w:t>
      </w:r>
      <w:r w:rsidR="000F3CD2" w:rsidRPr="00F835C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>g</w:t>
      </w:r>
      <w:r w:rsidR="000F3CD2" w:rsidRPr="00F835C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the UK Clinical Research Network</w:t>
      </w:r>
      <w:r w:rsidR="00D4344B">
        <w:rPr>
          <w:rFonts w:asciiTheme="minorHAnsi" w:hAnsiTheme="minorHAnsi"/>
          <w:color w:val="000000" w:themeColor="text1"/>
          <w:sz w:val="22"/>
          <w:szCs w:val="22"/>
        </w:rPr>
        <w:t xml:space="preserve"> [7</w:t>
      </w:r>
      <w:r w:rsidR="00A13555" w:rsidRPr="00F835C2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) the </w:t>
      </w:r>
      <w:r w:rsidR="00B311F8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administrative 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commitment </w:t>
      </w:r>
      <w:r w:rsidR="00775A8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expected of </w:t>
      </w:r>
      <w:r w:rsidR="001E4BBB" w:rsidRPr="00F835C2">
        <w:rPr>
          <w:rFonts w:asciiTheme="minorHAnsi" w:hAnsiTheme="minorHAnsi"/>
          <w:color w:val="000000" w:themeColor="text1"/>
          <w:sz w:val="22"/>
          <w:szCs w:val="22"/>
        </w:rPr>
        <w:t>doctors</w:t>
      </w:r>
      <w:r w:rsidR="00BE0D0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participating in trials,</w:t>
      </w:r>
      <w:r w:rsidR="00775A8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traditionally raised as a concern [</w:t>
      </w:r>
      <w:r w:rsidR="00D4344B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775A87" w:rsidRPr="00F835C2">
        <w:rPr>
          <w:rFonts w:asciiTheme="minorHAnsi" w:hAnsiTheme="minorHAnsi"/>
          <w:color w:val="000000" w:themeColor="text1"/>
          <w:sz w:val="22"/>
          <w:szCs w:val="22"/>
        </w:rPr>
        <w:t>],</w:t>
      </w:r>
      <w:r w:rsidR="00E43FD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11F8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has </w:t>
      </w:r>
      <w:r w:rsidR="001E4BB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also </w:t>
      </w:r>
      <w:r w:rsidR="00B311F8" w:rsidRPr="00F835C2">
        <w:rPr>
          <w:rFonts w:asciiTheme="minorHAnsi" w:hAnsiTheme="minorHAnsi"/>
          <w:color w:val="000000" w:themeColor="text1"/>
          <w:sz w:val="22"/>
          <w:szCs w:val="22"/>
        </w:rPr>
        <w:t>been substantially ameliorated.</w:t>
      </w:r>
      <w:r w:rsidR="000A0E41" w:rsidRPr="000A0E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FC2B1B9" w14:textId="77777777" w:rsidR="004971CE" w:rsidRPr="00F835C2" w:rsidRDefault="004971CE" w:rsidP="006B0DCC">
      <w:pPr>
        <w:pStyle w:val="p1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2ECCD34" w14:textId="1857F8E4" w:rsidR="00BF2FB5" w:rsidRDefault="006A152F" w:rsidP="006B0DCC">
      <w:pPr>
        <w:pStyle w:val="p2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Fonts w:asciiTheme="minorHAnsi" w:hAnsiTheme="minorHAnsi"/>
          <w:color w:val="000000" w:themeColor="text1"/>
          <w:sz w:val="22"/>
          <w:szCs w:val="22"/>
        </w:rPr>
        <w:t>For doctor</w:t>
      </w:r>
      <w:r w:rsidR="00C3372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293A7D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ethical considerations </w:t>
      </w:r>
      <w:r w:rsidR="00293A7D">
        <w:rPr>
          <w:rFonts w:asciiTheme="minorHAnsi" w:hAnsiTheme="minorHAnsi"/>
          <w:color w:val="000000" w:themeColor="text1"/>
          <w:sz w:val="22"/>
          <w:szCs w:val="22"/>
        </w:rPr>
        <w:t xml:space="preserve">about whether to participate in a pragmatic trial 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>depend on whether they are the direct recipient</w:t>
      </w:r>
      <w:r w:rsidR="00293A7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 of the research or whether they are consenting for their patients </w:t>
      </w:r>
      <w:r w:rsidR="0026148F">
        <w:rPr>
          <w:rFonts w:asciiTheme="minorHAnsi" w:hAnsiTheme="minorHAnsi"/>
          <w:color w:val="000000" w:themeColor="text1"/>
          <w:sz w:val="22"/>
          <w:szCs w:val="22"/>
        </w:rPr>
        <w:t xml:space="preserve">to be 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approached for trial participation.  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t xml:space="preserve">Where doctors are the direct </w:t>
      </w:r>
      <w:r w:rsidR="008401BB">
        <w:rPr>
          <w:rFonts w:asciiTheme="minorHAnsi" w:hAnsiTheme="minorHAnsi"/>
          <w:color w:val="000000" w:themeColor="text1"/>
          <w:sz w:val="22"/>
          <w:szCs w:val="22"/>
        </w:rPr>
        <w:t xml:space="preserve">recipients of </w:t>
      </w:r>
      <w:r w:rsidR="00293A7D">
        <w:rPr>
          <w:rFonts w:asciiTheme="minorHAnsi" w:hAnsiTheme="minorHAnsi"/>
          <w:color w:val="000000" w:themeColor="text1"/>
          <w:sz w:val="22"/>
          <w:szCs w:val="22"/>
        </w:rPr>
        <w:t>service-type pragmatic trials (</w:t>
      </w:r>
      <w:proofErr w:type="spellStart"/>
      <w:r w:rsidR="00293A7D">
        <w:rPr>
          <w:rFonts w:asciiTheme="minorHAnsi" w:hAnsiTheme="minorHAnsi"/>
          <w:color w:val="000000" w:themeColor="text1"/>
          <w:sz w:val="22"/>
          <w:szCs w:val="22"/>
        </w:rPr>
        <w:t>eg</w:t>
      </w:r>
      <w:proofErr w:type="spellEnd"/>
      <w:r w:rsidR="00293A7D">
        <w:rPr>
          <w:rFonts w:asciiTheme="minorHAnsi" w:hAnsiTheme="minorHAnsi"/>
          <w:color w:val="000000" w:themeColor="text1"/>
          <w:sz w:val="22"/>
          <w:szCs w:val="22"/>
        </w:rPr>
        <w:t xml:space="preserve"> as part of a trial to test different ways to facilitate the adoption of evidence based results into practice)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, Hutton et al </w:t>
      </w:r>
      <w:r w:rsidR="008401BB">
        <w:rPr>
          <w:rFonts w:asciiTheme="minorHAnsi" w:hAnsiTheme="minorHAnsi"/>
          <w:color w:val="000000" w:themeColor="text1"/>
          <w:sz w:val="22"/>
          <w:szCs w:val="22"/>
        </w:rPr>
        <w:t xml:space="preserve">[9] 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have argued eloquently that </w:t>
      </w:r>
      <w:r w:rsidR="0041178A" w:rsidRPr="00C3372D">
        <w:rPr>
          <w:rFonts w:asciiTheme="minorHAnsi" w:hAnsiTheme="minorHAnsi"/>
          <w:color w:val="000000" w:themeColor="text1"/>
          <w:sz w:val="22"/>
          <w:szCs w:val="22"/>
        </w:rPr>
        <w:t>doctors should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 have a very high threshold for withholding consent to participate in such studies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t xml:space="preserve"> (and indeed argue that 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lastRenderedPageBreak/>
        <w:t>individual doctor consent need not be required in some circumstances)</w:t>
      </w:r>
      <w:r w:rsidR="0041178A">
        <w:rPr>
          <w:rFonts w:asciiTheme="minorHAnsi" w:hAnsiTheme="minorHAnsi"/>
          <w:color w:val="000000" w:themeColor="text1"/>
          <w:sz w:val="22"/>
          <w:szCs w:val="22"/>
        </w:rPr>
        <w:t xml:space="preserve">, as they </w:t>
      </w:r>
      <w:r w:rsidR="008401BB">
        <w:rPr>
          <w:rFonts w:asciiTheme="minorHAnsi" w:hAnsiTheme="minorHAnsi"/>
          <w:color w:val="000000" w:themeColor="text1"/>
          <w:sz w:val="22"/>
          <w:szCs w:val="22"/>
        </w:rPr>
        <w:t xml:space="preserve">are effectively denying their patients access to the potential benefits of participation. </w:t>
      </w:r>
      <w:r w:rsidR="004C22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358E9FC" w14:textId="118916EB" w:rsidR="00BF2FB5" w:rsidRDefault="008401BB" w:rsidP="006B0DCC">
      <w:pPr>
        <w:pStyle w:val="p2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60604E" w14:textId="26BC4D86" w:rsidR="003C1A74" w:rsidRDefault="00C7562B" w:rsidP="006B0DCC">
      <w:pPr>
        <w:pStyle w:val="p2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 the situation where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t xml:space="preserve"> doctors are consenting for their patients to be approached to take part in a treatment trial, clinician equipoise becomes a critical ethical </w:t>
      </w:r>
      <w:r>
        <w:rPr>
          <w:rFonts w:asciiTheme="minorHAnsi" w:hAnsiTheme="minorHAnsi"/>
          <w:color w:val="000000" w:themeColor="text1"/>
          <w:sz w:val="22"/>
          <w:szCs w:val="22"/>
        </w:rPr>
        <w:t>concern</w:t>
      </w:r>
      <w:r w:rsidR="0010719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3A7D">
        <w:rPr>
          <w:rFonts w:asciiTheme="minorHAnsi" w:hAnsiTheme="minorHAnsi"/>
          <w:color w:val="000000" w:themeColor="text1"/>
          <w:sz w:val="22"/>
          <w:szCs w:val="22"/>
        </w:rPr>
        <w:t>[10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5D5E6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.  Many doctors 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decline </w:t>
      </w:r>
      <w:r w:rsidR="003C1A74" w:rsidRPr="00F835C2">
        <w:rPr>
          <w:rFonts w:asciiTheme="minorHAnsi" w:hAnsiTheme="minorHAnsi"/>
          <w:color w:val="000000" w:themeColor="text1"/>
          <w:sz w:val="22"/>
          <w:szCs w:val="22"/>
        </w:rPr>
        <w:t>trial participation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because they </w:t>
      </w:r>
      <w:r w:rsidR="008C2D09" w:rsidRPr="00F835C2">
        <w:rPr>
          <w:rFonts w:asciiTheme="minorHAnsi" w:hAnsiTheme="minorHAnsi"/>
          <w:color w:val="000000" w:themeColor="text1"/>
          <w:sz w:val="22"/>
          <w:szCs w:val="22"/>
        </w:rPr>
        <w:t>believe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A12A9">
        <w:rPr>
          <w:rFonts w:asciiTheme="minorHAnsi" w:hAnsiTheme="minorHAnsi"/>
          <w:color w:val="000000" w:themeColor="text1"/>
          <w:sz w:val="22"/>
          <w:szCs w:val="22"/>
        </w:rPr>
        <w:t>they are not in equipoise</w:t>
      </w:r>
      <w:r w:rsidR="005D5E6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="005D0AC7" w:rsidRPr="00F835C2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5D5E67" w:rsidRPr="00F835C2">
        <w:rPr>
          <w:rFonts w:asciiTheme="minorHAnsi" w:hAnsiTheme="minorHAnsi"/>
          <w:color w:val="000000" w:themeColor="text1"/>
          <w:sz w:val="22"/>
          <w:szCs w:val="22"/>
        </w:rPr>
        <w:t>f the wider professional community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>, however,</w:t>
      </w:r>
      <w:r w:rsidR="005D5E67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is in </w:t>
      </w:r>
      <w:r w:rsidR="0010719B" w:rsidRPr="00F835C2">
        <w:rPr>
          <w:rFonts w:asciiTheme="minorHAnsi" w:hAnsiTheme="minorHAnsi"/>
          <w:color w:val="000000" w:themeColor="text1"/>
          <w:sz w:val="22"/>
          <w:szCs w:val="22"/>
        </w:rPr>
        <w:t>collective equipoise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>across the profession doctors differ in their perception of what treatment is best and are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therefore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collectively uncertain</w:t>
      </w:r>
      <w:r w:rsidR="008401BB">
        <w:rPr>
          <w:rFonts w:asciiTheme="minorHAnsi" w:hAnsiTheme="minorHAnsi"/>
          <w:color w:val="000000" w:themeColor="text1"/>
          <w:sz w:val="22"/>
          <w:szCs w:val="22"/>
        </w:rPr>
        <w:t xml:space="preserve"> [10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] </w:t>
      </w:r>
      <w:r w:rsidR="000A0E41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896146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t>I would argue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C2287">
        <w:rPr>
          <w:rFonts w:asciiTheme="minorHAnsi" w:hAnsiTheme="minorHAnsi"/>
          <w:color w:val="000000" w:themeColor="text1"/>
          <w:sz w:val="22"/>
          <w:szCs w:val="22"/>
        </w:rPr>
        <w:t>in line with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Freedman [10],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t xml:space="preserve"> that 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>doctors should</w:t>
      </w:r>
      <w:r w:rsidR="00481BE3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A0E41">
        <w:rPr>
          <w:rFonts w:asciiTheme="minorHAnsi" w:hAnsiTheme="minorHAnsi"/>
          <w:color w:val="000000" w:themeColor="text1"/>
          <w:sz w:val="22"/>
          <w:szCs w:val="22"/>
        </w:rPr>
        <w:t xml:space="preserve">routinely </w:t>
      </w:r>
      <w:r w:rsidR="00481BE3" w:rsidRPr="00F835C2">
        <w:rPr>
          <w:rFonts w:asciiTheme="minorHAnsi" w:hAnsiTheme="minorHAnsi"/>
          <w:color w:val="000000" w:themeColor="text1"/>
          <w:sz w:val="22"/>
          <w:szCs w:val="22"/>
        </w:rPr>
        <w:t>tak</w:t>
      </w:r>
      <w:r w:rsidR="000A0E41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part in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 xml:space="preserve">such 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trials to address this evidence gap.  If they do not, patients will be the recipients of conflicting information about the best treatment </w:t>
      </w:r>
      <w:r w:rsidR="004941E2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option </w:t>
      </w:r>
      <w:r w:rsidR="008C2D09" w:rsidRPr="00F835C2">
        <w:rPr>
          <w:rFonts w:asciiTheme="minorHAnsi" w:hAnsiTheme="minorHAnsi"/>
          <w:color w:val="000000" w:themeColor="text1"/>
          <w:sz w:val="22"/>
          <w:szCs w:val="22"/>
        </w:rPr>
        <w:t>depending on which doctor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they are referred to – and, by definition, </w:t>
      </w:r>
      <w:r w:rsidR="00481BE3" w:rsidRPr="00F835C2">
        <w:rPr>
          <w:rFonts w:asciiTheme="minorHAnsi" w:hAnsiTheme="minorHAnsi"/>
          <w:color w:val="000000" w:themeColor="text1"/>
          <w:sz w:val="22"/>
          <w:szCs w:val="22"/>
        </w:rPr>
        <w:t>not all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81BE3" w:rsidRPr="00F835C2">
        <w:rPr>
          <w:rFonts w:asciiTheme="minorHAnsi" w:hAnsiTheme="minorHAnsi"/>
          <w:color w:val="000000" w:themeColor="text1"/>
          <w:sz w:val="22"/>
          <w:szCs w:val="22"/>
        </w:rPr>
        <w:t>can</w:t>
      </w:r>
      <w:r w:rsidR="00FD5C5B"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be right. </w:t>
      </w:r>
    </w:p>
    <w:p w14:paraId="48FDFA30" w14:textId="77777777" w:rsidR="00293A7D" w:rsidRDefault="00293A7D" w:rsidP="006B0DCC">
      <w:pPr>
        <w:pStyle w:val="p2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62BEBFF" w14:textId="70F3BC24" w:rsidR="00812BE9" w:rsidRDefault="00293A7D" w:rsidP="00293A7D">
      <w:pPr>
        <w:pStyle w:val="p2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One </w:t>
      </w:r>
      <w:r w:rsidR="009A12A9">
        <w:rPr>
          <w:rFonts w:asciiTheme="minorHAnsi" w:hAnsiTheme="minorHAnsi"/>
          <w:color w:val="000000" w:themeColor="text1"/>
          <w:sz w:val="22"/>
          <w:szCs w:val="22"/>
        </w:rPr>
        <w:t>has to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acknowledge</w:t>
      </w:r>
      <w:r w:rsidR="009A12A9">
        <w:rPr>
          <w:rFonts w:asciiTheme="minorHAnsi" w:hAnsiTheme="minorHAnsi"/>
          <w:color w:val="000000" w:themeColor="text1"/>
          <w:sz w:val="22"/>
          <w:szCs w:val="22"/>
        </w:rPr>
        <w:t>, of course,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that t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he decision to take part in a clinical trial must </w:t>
      </w:r>
      <w:r w:rsidR="00BF2FB5">
        <w:rPr>
          <w:rFonts w:asciiTheme="minorHAnsi" w:hAnsiTheme="minorHAnsi"/>
          <w:color w:val="000000" w:themeColor="text1"/>
          <w:sz w:val="22"/>
          <w:szCs w:val="22"/>
        </w:rPr>
        <w:t>remain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ethically justifiable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the </w:t>
      </w:r>
      <w:r w:rsidR="00FA03F5">
        <w:rPr>
          <w:rFonts w:asciiTheme="minorHAnsi" w:hAnsiTheme="minorHAnsi"/>
          <w:color w:val="000000" w:themeColor="text1"/>
          <w:sz w:val="22"/>
          <w:szCs w:val="22"/>
        </w:rPr>
        <w:t xml:space="preserve">trial </w:t>
      </w:r>
      <w:r>
        <w:rPr>
          <w:rFonts w:asciiTheme="minorHAnsi" w:hAnsiTheme="minorHAnsi"/>
          <w:color w:val="000000" w:themeColor="text1"/>
          <w:sz w:val="22"/>
          <w:szCs w:val="22"/>
        </w:rPr>
        <w:t>participant</w:t>
      </w:r>
      <w:r w:rsidR="00FA03F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>as trials are not without risk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 xml:space="preserve"> (especially for patients who are to receive trial treatments directly)</w:t>
      </w:r>
      <w:r w:rsidR="007C7E3B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Thus, it </w:t>
      </w:r>
      <w:r w:rsidR="00711EA5">
        <w:rPr>
          <w:rFonts w:asciiTheme="minorHAnsi" w:hAnsiTheme="minorHAnsi"/>
          <w:color w:val="000000" w:themeColor="text1"/>
          <w:sz w:val="22"/>
          <w:szCs w:val="22"/>
        </w:rPr>
        <w:t>would be</w:t>
      </w:r>
      <w:r w:rsidR="009A12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wrong to </w:t>
      </w:r>
      <w:r w:rsidR="002D6E5B">
        <w:rPr>
          <w:rFonts w:asciiTheme="minorHAnsi" w:hAnsiTheme="minorHAnsi"/>
          <w:color w:val="000000" w:themeColor="text1"/>
          <w:sz w:val="22"/>
          <w:szCs w:val="22"/>
        </w:rPr>
        <w:t xml:space="preserve">insist that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 moral obligation to participate in trials </w:t>
      </w:r>
      <w:r w:rsidR="002D6E5B">
        <w:rPr>
          <w:rFonts w:asciiTheme="minorHAnsi" w:hAnsiTheme="minorHAnsi"/>
          <w:color w:val="000000" w:themeColor="text1"/>
          <w:sz w:val="22"/>
          <w:szCs w:val="22"/>
        </w:rPr>
        <w:t>mandates compulsory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part</w:t>
      </w:r>
      <w:r w:rsidR="002D6E5B">
        <w:rPr>
          <w:rFonts w:asciiTheme="minorHAnsi" w:hAnsiTheme="minorHAnsi"/>
          <w:color w:val="000000" w:themeColor="text1"/>
          <w:sz w:val="22"/>
          <w:szCs w:val="22"/>
        </w:rPr>
        <w:t>icipation</w:t>
      </w:r>
      <w:r w:rsidR="00FC2AD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for all</w:t>
      </w:r>
      <w:r w:rsidR="004C2287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For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 xml:space="preserve"> patients in particular, individual </w:t>
      </w:r>
      <w:r w:rsidR="004C2287">
        <w:rPr>
          <w:rFonts w:asciiTheme="minorHAnsi" w:hAnsiTheme="minorHAnsi"/>
          <w:color w:val="000000" w:themeColor="text1"/>
          <w:sz w:val="22"/>
          <w:szCs w:val="22"/>
        </w:rPr>
        <w:t xml:space="preserve">informed consent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4C22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>likely remain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4C2287">
        <w:rPr>
          <w:rFonts w:asciiTheme="minorHAnsi" w:hAnsiTheme="minorHAnsi"/>
          <w:color w:val="000000" w:themeColor="text1"/>
          <w:sz w:val="22"/>
          <w:szCs w:val="22"/>
        </w:rPr>
        <w:t>norm (although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 xml:space="preserve"> as with doctors, individual consent for patient 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 xml:space="preserve">participation in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service-level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 xml:space="preserve"> trial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s of the roll out of evidence-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>based practice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 xml:space="preserve"> may not be an essential requirement</w:t>
      </w:r>
      <w:r w:rsidR="00B4481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FA03F5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Rather, </w:t>
      </w:r>
      <w:r w:rsidR="00FC2AD6">
        <w:rPr>
          <w:rFonts w:asciiTheme="minorHAnsi" w:hAnsi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moral obligation</w:t>
      </w:r>
      <w:r w:rsidR="002D6E5B">
        <w:rPr>
          <w:rFonts w:asciiTheme="minorHAnsi" w:hAnsiTheme="minorHAnsi"/>
          <w:color w:val="000000" w:themeColor="text1"/>
          <w:sz w:val="22"/>
          <w:szCs w:val="22"/>
        </w:rPr>
        <w:t xml:space="preserve"> to participate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implies a different starting point – where </w:t>
      </w:r>
      <w:r w:rsidR="00711EA5">
        <w:rPr>
          <w:rFonts w:asciiTheme="minorHAnsi" w:hAnsiTheme="minorHAnsi"/>
          <w:color w:val="000000" w:themeColor="text1"/>
          <w:sz w:val="22"/>
          <w:szCs w:val="22"/>
        </w:rPr>
        <w:t xml:space="preserve">the expectation </w:t>
      </w:r>
      <w:r w:rsidR="0026148F">
        <w:rPr>
          <w:rFonts w:asciiTheme="minorHAnsi" w:hAnsiTheme="minorHAnsi"/>
          <w:color w:val="000000" w:themeColor="text1"/>
          <w:sz w:val="22"/>
          <w:szCs w:val="22"/>
        </w:rPr>
        <w:t>is</w:t>
      </w:r>
      <w:r w:rsidR="00711EA5">
        <w:rPr>
          <w:rFonts w:asciiTheme="minorHAnsi" w:hAnsiTheme="minorHAnsi"/>
          <w:color w:val="000000" w:themeColor="text1"/>
          <w:sz w:val="22"/>
          <w:szCs w:val="22"/>
        </w:rPr>
        <w:t xml:space="preserve"> that doctors routinely participate in trials and </w:t>
      </w:r>
      <w:r w:rsidR="00B27617">
        <w:rPr>
          <w:rFonts w:asciiTheme="minorHAnsi" w:hAnsiTheme="minorHAnsi"/>
          <w:color w:val="000000" w:themeColor="text1"/>
          <w:sz w:val="22"/>
          <w:szCs w:val="22"/>
        </w:rPr>
        <w:t xml:space="preserve">that </w:t>
      </w:r>
      <w:r w:rsidR="00711EA5">
        <w:rPr>
          <w:rFonts w:asciiTheme="minorHAnsi" w:hAnsiTheme="minorHAnsi"/>
          <w:color w:val="000000" w:themeColor="text1"/>
          <w:sz w:val="22"/>
          <w:szCs w:val="22"/>
        </w:rPr>
        <w:t>their patients expect to be approached to take part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</w:p>
    <w:p w14:paraId="009E3B4D" w14:textId="77777777" w:rsidR="00BF2FB5" w:rsidRDefault="00BF2FB5" w:rsidP="006B0DC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5B750" w14:textId="21DA828E" w:rsidR="00BF2FB5" w:rsidRDefault="00C7562B" w:rsidP="006B0DC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Word count - </w:t>
      </w:r>
      <w:r w:rsidR="00AB5526">
        <w:rPr>
          <w:rFonts w:asciiTheme="minorHAnsi" w:hAnsiTheme="minorHAnsi"/>
          <w:color w:val="000000" w:themeColor="text1"/>
          <w:sz w:val="22"/>
          <w:szCs w:val="22"/>
        </w:rPr>
        <w:t>807</w:t>
      </w:r>
      <w:bookmarkStart w:id="0" w:name="_GoBack"/>
      <w:bookmarkEnd w:id="0"/>
    </w:p>
    <w:p w14:paraId="4AAB3FD6" w14:textId="77777777" w:rsidR="00293A7D" w:rsidRPr="00F835C2" w:rsidRDefault="00293A7D" w:rsidP="006B0DC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E095F71" w14:textId="77777777" w:rsidR="00812BE9" w:rsidRPr="00F835C2" w:rsidRDefault="00812BE9" w:rsidP="006B0DCC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35C2">
        <w:rPr>
          <w:rFonts w:asciiTheme="minorHAnsi" w:hAnsiTheme="minorHAnsi"/>
          <w:b/>
          <w:color w:val="000000" w:themeColor="text1"/>
          <w:sz w:val="22"/>
          <w:szCs w:val="22"/>
        </w:rPr>
        <w:t>References:</w:t>
      </w:r>
    </w:p>
    <w:p w14:paraId="6965D2B5" w14:textId="1B812472" w:rsidR="0010719B" w:rsidRPr="00F835C2" w:rsidRDefault="00FD682C" w:rsidP="006B0DCC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F835C2">
        <w:rPr>
          <w:rFonts w:asciiTheme="minorHAnsi" w:eastAsia="Times New Roman" w:hAnsiTheme="minorHAnsi" w:cs="Arial"/>
          <w:color w:val="222222"/>
          <w:sz w:val="22"/>
          <w:szCs w:val="22"/>
        </w:rPr>
        <w:t>Sibbald</w:t>
      </w:r>
      <w:proofErr w:type="spellEnd"/>
      <w:r w:rsidRPr="00F835C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 B, Roland M.  </w:t>
      </w:r>
      <w:r w:rsidRPr="00F835C2">
        <w:rPr>
          <w:rFonts w:asciiTheme="minorHAnsi" w:hAnsiTheme="minorHAnsi"/>
          <w:sz w:val="22"/>
          <w:szCs w:val="22"/>
          <w:lang w:val="en"/>
        </w:rPr>
        <w:t xml:space="preserve">Understanding controlled trials: Why are </w:t>
      </w:r>
      <w:proofErr w:type="spellStart"/>
      <w:r w:rsidRPr="00F835C2">
        <w:rPr>
          <w:rFonts w:asciiTheme="minorHAnsi" w:hAnsiTheme="minorHAnsi"/>
          <w:sz w:val="22"/>
          <w:szCs w:val="22"/>
          <w:lang w:val="en"/>
        </w:rPr>
        <w:t>randomised</w:t>
      </w:r>
      <w:proofErr w:type="spellEnd"/>
      <w:r w:rsidRPr="00F835C2">
        <w:rPr>
          <w:rFonts w:asciiTheme="minorHAnsi" w:hAnsiTheme="minorHAnsi"/>
          <w:sz w:val="22"/>
          <w:szCs w:val="22"/>
          <w:lang w:val="en"/>
        </w:rPr>
        <w:t xml:space="preserve"> controlled trials important? </w:t>
      </w:r>
      <w:r w:rsidRPr="00F835C2">
        <w:rPr>
          <w:rStyle w:val="italic"/>
          <w:rFonts w:asciiTheme="minorHAnsi" w:hAnsiTheme="minorHAnsi"/>
          <w:i/>
          <w:sz w:val="22"/>
          <w:szCs w:val="22"/>
          <w:lang w:val="en"/>
        </w:rPr>
        <w:t>BMJ</w:t>
      </w:r>
      <w:r w:rsidRPr="00F835C2">
        <w:rPr>
          <w:rStyle w:val="highwire-cite-article-as"/>
          <w:rFonts w:asciiTheme="minorHAnsi" w:hAnsiTheme="minorHAnsi"/>
          <w:sz w:val="22"/>
          <w:szCs w:val="22"/>
          <w:lang w:val="en"/>
        </w:rPr>
        <w:t xml:space="preserve"> 1998;316:201</w:t>
      </w:r>
    </w:p>
    <w:p w14:paraId="2F565521" w14:textId="233C4EFB" w:rsidR="00812BE9" w:rsidRPr="00F835C2" w:rsidRDefault="00D2758B" w:rsidP="006B0DCC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Stub D, Smith K, Bernard S, </w:t>
      </w:r>
      <w:r w:rsidRPr="00F835C2">
        <w:rPr>
          <w:rFonts w:asciiTheme="minorHAnsi" w:eastAsia="Times New Roman" w:hAnsiTheme="minorHAnsi" w:cs="Courier New"/>
          <w:i/>
          <w:color w:val="000000" w:themeColor="text1"/>
          <w:sz w:val="22"/>
          <w:szCs w:val="22"/>
        </w:rPr>
        <w:t>et al</w:t>
      </w:r>
      <w:r w:rsidRPr="00F835C2">
        <w:rPr>
          <w:rFonts w:asciiTheme="minorHAnsi" w:eastAsia="Times New Roman" w:hAnsiTheme="minorHAnsi"/>
          <w:color w:val="000000" w:themeColor="text1"/>
          <w:sz w:val="22"/>
          <w:szCs w:val="22"/>
        </w:rPr>
        <w:t>.</w:t>
      </w: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 Air </w:t>
      </w:r>
      <w:proofErr w:type="gramStart"/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>Versus</w:t>
      </w:r>
      <w:proofErr w:type="gramEnd"/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 Oxygen in ST-Segment-Elevation Myocardial Infarction. </w:t>
      </w:r>
      <w:r w:rsidRPr="00F835C2">
        <w:rPr>
          <w:rFonts w:asciiTheme="minorHAnsi" w:eastAsia="Times New Roman" w:hAnsiTheme="minorHAnsi" w:cs="Courier New"/>
          <w:i/>
          <w:color w:val="000000" w:themeColor="text1"/>
          <w:sz w:val="22"/>
          <w:szCs w:val="22"/>
        </w:rPr>
        <w:t>Circulation</w:t>
      </w: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>. 2015</w:t>
      </w:r>
      <w:r w:rsidR="00320A8E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>;</w:t>
      </w: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 131(24):</w:t>
      </w:r>
      <w:r w:rsidR="00320A8E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 </w:t>
      </w: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>2143-50</w:t>
      </w:r>
    </w:p>
    <w:p w14:paraId="7E41C806" w14:textId="442C1ED7" w:rsidR="00A13555" w:rsidRPr="00F835C2" w:rsidRDefault="00A13555" w:rsidP="006B0DCC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F835C2">
        <w:rPr>
          <w:rFonts w:asciiTheme="minorHAnsi" w:eastAsia="Times New Roman" w:hAnsiTheme="minorHAnsi"/>
          <w:sz w:val="22"/>
          <w:szCs w:val="22"/>
        </w:rPr>
        <w:t xml:space="preserve">Ford I, Norrie J.  </w:t>
      </w:r>
      <w:r w:rsidRPr="00F835C2">
        <w:rPr>
          <w:rFonts w:asciiTheme="minorHAnsi" w:eastAsia="Times New Roman" w:hAnsiTheme="minorHAnsi" w:cs="Courier New"/>
          <w:sz w:val="22"/>
          <w:szCs w:val="22"/>
        </w:rPr>
        <w:t xml:space="preserve">Pragmatic Trials. </w:t>
      </w:r>
      <w:r w:rsidRPr="00F835C2">
        <w:rPr>
          <w:rFonts w:asciiTheme="minorHAnsi" w:eastAsia="Times New Roman" w:hAnsiTheme="minorHAnsi" w:cs="Courier New"/>
          <w:i/>
          <w:sz w:val="22"/>
          <w:szCs w:val="22"/>
        </w:rPr>
        <w:t xml:space="preserve">N </w:t>
      </w:r>
      <w:proofErr w:type="spellStart"/>
      <w:r w:rsidRPr="00F835C2">
        <w:rPr>
          <w:rFonts w:asciiTheme="minorHAnsi" w:eastAsia="Times New Roman" w:hAnsiTheme="minorHAnsi" w:cs="Courier New"/>
          <w:i/>
          <w:sz w:val="22"/>
          <w:szCs w:val="22"/>
        </w:rPr>
        <w:t>Engl</w:t>
      </w:r>
      <w:proofErr w:type="spellEnd"/>
      <w:r w:rsidRPr="00F835C2">
        <w:rPr>
          <w:rFonts w:asciiTheme="minorHAnsi" w:eastAsia="Times New Roman" w:hAnsiTheme="minorHAnsi" w:cs="Courier New"/>
          <w:i/>
          <w:sz w:val="22"/>
          <w:szCs w:val="22"/>
        </w:rPr>
        <w:t xml:space="preserve"> J Med</w:t>
      </w:r>
      <w:r w:rsidR="00320A8E">
        <w:rPr>
          <w:rFonts w:asciiTheme="minorHAnsi" w:eastAsia="Times New Roman" w:hAnsiTheme="minorHAnsi" w:cs="Courier New"/>
          <w:sz w:val="22"/>
          <w:szCs w:val="22"/>
        </w:rPr>
        <w:t>. 2016</w:t>
      </w:r>
      <w:r w:rsidRPr="00F835C2">
        <w:rPr>
          <w:rFonts w:asciiTheme="minorHAnsi" w:eastAsia="Times New Roman" w:hAnsiTheme="minorHAnsi" w:cs="Courier New"/>
          <w:sz w:val="22"/>
          <w:szCs w:val="22"/>
        </w:rPr>
        <w:t>;</w:t>
      </w:r>
      <w:r w:rsidR="00320A8E">
        <w:rPr>
          <w:rFonts w:asciiTheme="minorHAnsi" w:eastAsia="Times New Roman" w:hAnsiTheme="minorHAnsi" w:cs="Courier New"/>
          <w:sz w:val="22"/>
          <w:szCs w:val="22"/>
        </w:rPr>
        <w:t xml:space="preserve"> </w:t>
      </w:r>
      <w:r w:rsidRPr="00F835C2">
        <w:rPr>
          <w:rFonts w:asciiTheme="minorHAnsi" w:eastAsia="Times New Roman" w:hAnsiTheme="minorHAnsi" w:cs="Courier New"/>
          <w:sz w:val="22"/>
          <w:szCs w:val="22"/>
        </w:rPr>
        <w:t>375(5):</w:t>
      </w:r>
      <w:r w:rsidR="00320A8E">
        <w:rPr>
          <w:rFonts w:asciiTheme="minorHAnsi" w:eastAsia="Times New Roman" w:hAnsiTheme="minorHAnsi" w:cs="Courier New"/>
          <w:sz w:val="22"/>
          <w:szCs w:val="22"/>
        </w:rPr>
        <w:t xml:space="preserve"> </w:t>
      </w:r>
      <w:r w:rsidRPr="00F835C2">
        <w:rPr>
          <w:rFonts w:asciiTheme="minorHAnsi" w:eastAsia="Times New Roman" w:hAnsiTheme="minorHAnsi" w:cs="Courier New"/>
          <w:sz w:val="22"/>
          <w:szCs w:val="22"/>
        </w:rPr>
        <w:t>454-63.</w:t>
      </w:r>
    </w:p>
    <w:p w14:paraId="1862B282" w14:textId="1A65E18F" w:rsidR="00775A87" w:rsidRPr="00D4344B" w:rsidRDefault="00502122" w:rsidP="006B0DCC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Schaefer GO, Ezekiel EJ, Wertheimer A.  The obligation to participate in biomedical research.  </w:t>
      </w:r>
      <w:r w:rsidRPr="00F835C2">
        <w:rPr>
          <w:rFonts w:asciiTheme="minorHAnsi" w:eastAsia="Times New Roman" w:hAnsiTheme="minorHAnsi" w:cs="Courier New"/>
          <w:i/>
          <w:color w:val="000000" w:themeColor="text1"/>
          <w:sz w:val="22"/>
          <w:szCs w:val="22"/>
        </w:rPr>
        <w:t>JAMA</w:t>
      </w:r>
      <w:r w:rsidRPr="00F835C2"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 2009; 302: 67-72.</w:t>
      </w:r>
    </w:p>
    <w:p w14:paraId="152E6FFE" w14:textId="318B32B3" w:rsidR="00D4344B" w:rsidRPr="00F835C2" w:rsidRDefault="00D4344B" w:rsidP="006B0DCC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Harris J.  Scientific research is a moral duty.  </w:t>
      </w:r>
      <w:r w:rsidRPr="00D4344B">
        <w:rPr>
          <w:rFonts w:asciiTheme="minorHAnsi" w:eastAsia="Times New Roman" w:hAnsiTheme="minorHAnsi" w:cs="Courier New"/>
          <w:i/>
          <w:color w:val="000000" w:themeColor="text1"/>
          <w:sz w:val="22"/>
          <w:szCs w:val="22"/>
        </w:rPr>
        <w:t>J Med Ethics</w:t>
      </w:r>
      <w:r>
        <w:rPr>
          <w:rFonts w:asciiTheme="minorHAnsi" w:eastAsia="Times New Roman" w:hAnsiTheme="minorHAnsi" w:cs="Courier New"/>
          <w:color w:val="000000" w:themeColor="text1"/>
          <w:sz w:val="22"/>
          <w:szCs w:val="22"/>
        </w:rPr>
        <w:t xml:space="preserve"> 2005; 31: 242-248.</w:t>
      </w:r>
    </w:p>
    <w:p w14:paraId="0B681233" w14:textId="5795638C" w:rsidR="00F82713" w:rsidRPr="00F835C2" w:rsidRDefault="00F82713" w:rsidP="006B0DCC">
      <w:pPr>
        <w:pStyle w:val="HTMLPreformatted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835C2">
        <w:rPr>
          <w:rFonts w:asciiTheme="minorHAnsi" w:hAnsiTheme="minorHAnsi"/>
          <w:sz w:val="22"/>
          <w:szCs w:val="22"/>
        </w:rPr>
        <w:t>McCann S</w:t>
      </w:r>
      <w:r w:rsidR="00F835C2" w:rsidRPr="00F835C2">
        <w:rPr>
          <w:rFonts w:asciiTheme="minorHAnsi" w:hAnsiTheme="minorHAnsi"/>
          <w:sz w:val="22"/>
          <w:szCs w:val="22"/>
        </w:rPr>
        <w:t>K</w:t>
      </w:r>
      <w:r w:rsidRPr="00F835C2">
        <w:rPr>
          <w:rFonts w:asciiTheme="minorHAnsi" w:hAnsiTheme="minorHAnsi"/>
          <w:sz w:val="22"/>
          <w:szCs w:val="22"/>
        </w:rPr>
        <w:t>, Campbell M</w:t>
      </w:r>
      <w:r w:rsidR="00F835C2" w:rsidRPr="00F835C2">
        <w:rPr>
          <w:rFonts w:asciiTheme="minorHAnsi" w:hAnsiTheme="minorHAnsi"/>
          <w:sz w:val="22"/>
          <w:szCs w:val="22"/>
        </w:rPr>
        <w:t>K</w:t>
      </w:r>
      <w:r w:rsidRPr="00F835C2">
        <w:rPr>
          <w:rFonts w:asciiTheme="minorHAnsi" w:hAnsiTheme="minorHAnsi"/>
          <w:sz w:val="22"/>
          <w:szCs w:val="22"/>
        </w:rPr>
        <w:t>, Entwistle V. Recruitment to clinical trials: a meta-ethnographic synthesis of studies of reasons for participation</w:t>
      </w:r>
      <w:r w:rsidRPr="00F835C2">
        <w:rPr>
          <w:rFonts w:asciiTheme="minorHAnsi" w:hAnsiTheme="minorHAnsi"/>
          <w:i/>
          <w:sz w:val="22"/>
          <w:szCs w:val="22"/>
        </w:rPr>
        <w:t xml:space="preserve">. J Health </w:t>
      </w:r>
      <w:proofErr w:type="spellStart"/>
      <w:r w:rsidRPr="00F835C2">
        <w:rPr>
          <w:rFonts w:asciiTheme="minorHAnsi" w:hAnsiTheme="minorHAnsi"/>
          <w:i/>
          <w:sz w:val="22"/>
          <w:szCs w:val="22"/>
        </w:rPr>
        <w:t>Serv</w:t>
      </w:r>
      <w:proofErr w:type="spellEnd"/>
      <w:r w:rsidRPr="00F835C2">
        <w:rPr>
          <w:rFonts w:asciiTheme="minorHAnsi" w:hAnsiTheme="minorHAnsi"/>
          <w:i/>
          <w:sz w:val="22"/>
          <w:szCs w:val="22"/>
        </w:rPr>
        <w:t xml:space="preserve"> Res Policy</w:t>
      </w:r>
      <w:r w:rsidRPr="00F835C2">
        <w:rPr>
          <w:rFonts w:asciiTheme="minorHAnsi" w:hAnsiTheme="minorHAnsi"/>
          <w:sz w:val="22"/>
          <w:szCs w:val="22"/>
        </w:rPr>
        <w:t>. 2013;</w:t>
      </w:r>
      <w:r w:rsidR="00320A8E">
        <w:rPr>
          <w:rFonts w:asciiTheme="minorHAnsi" w:hAnsiTheme="minorHAnsi"/>
          <w:sz w:val="22"/>
          <w:szCs w:val="22"/>
        </w:rPr>
        <w:t xml:space="preserve"> </w:t>
      </w:r>
      <w:r w:rsidRPr="00F835C2">
        <w:rPr>
          <w:rFonts w:asciiTheme="minorHAnsi" w:hAnsiTheme="minorHAnsi"/>
          <w:sz w:val="22"/>
          <w:szCs w:val="22"/>
        </w:rPr>
        <w:t>18(4):</w:t>
      </w:r>
      <w:r w:rsidR="00320A8E">
        <w:rPr>
          <w:rFonts w:asciiTheme="minorHAnsi" w:hAnsiTheme="minorHAnsi"/>
          <w:sz w:val="22"/>
          <w:szCs w:val="22"/>
        </w:rPr>
        <w:t xml:space="preserve"> </w:t>
      </w:r>
      <w:r w:rsidRPr="00F835C2">
        <w:rPr>
          <w:rFonts w:asciiTheme="minorHAnsi" w:hAnsiTheme="minorHAnsi"/>
          <w:sz w:val="22"/>
          <w:szCs w:val="22"/>
        </w:rPr>
        <w:t xml:space="preserve">233-41. </w:t>
      </w:r>
    </w:p>
    <w:p w14:paraId="2E913461" w14:textId="77777777" w:rsidR="006B0DCC" w:rsidRPr="00F835C2" w:rsidRDefault="006B0DCC" w:rsidP="006B0D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F835C2">
        <w:rPr>
          <w:rFonts w:asciiTheme="minorHAnsi" w:eastAsia="Times New Roman" w:hAnsiTheme="minorHAnsi"/>
          <w:sz w:val="22"/>
          <w:szCs w:val="22"/>
        </w:rPr>
        <w:t>UK Clinical Research Network.</w:t>
      </w:r>
      <w:r w:rsidRPr="00F835C2">
        <w:rPr>
          <w:rFonts w:asciiTheme="minorHAnsi" w:eastAsia="Times New Roman" w:hAnsiTheme="minorHAnsi" w:cs="Courier New"/>
          <w:sz w:val="22"/>
          <w:szCs w:val="22"/>
        </w:rPr>
        <w:t xml:space="preserve">  </w:t>
      </w:r>
      <w:hyperlink r:id="rId7" w:history="1">
        <w:r w:rsidRPr="00F835C2">
          <w:rPr>
            <w:rStyle w:val="Hyperlink"/>
            <w:rFonts w:asciiTheme="minorHAnsi" w:eastAsia="Times New Roman" w:hAnsiTheme="minorHAnsi" w:cs="Courier New"/>
            <w:sz w:val="22"/>
            <w:szCs w:val="22"/>
          </w:rPr>
          <w:t>http://www.ukcrc.org/research-infrastructure/clinical-research-networks/uk-clinical-research-network-ukcrn/</w:t>
        </w:r>
      </w:hyperlink>
      <w:r w:rsidRPr="00F835C2">
        <w:rPr>
          <w:rFonts w:asciiTheme="minorHAnsi" w:eastAsia="Times New Roman" w:hAnsiTheme="minorHAnsi" w:cs="Courier New"/>
          <w:sz w:val="22"/>
          <w:szCs w:val="22"/>
        </w:rPr>
        <w:t xml:space="preserve"> [accessed 12/04/2017]</w:t>
      </w:r>
    </w:p>
    <w:p w14:paraId="23029627" w14:textId="77777777" w:rsidR="008401BB" w:rsidRPr="00F835C2" w:rsidRDefault="008401BB" w:rsidP="008401BB">
      <w:pPr>
        <w:pStyle w:val="HTMLPreformatted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835C2">
        <w:rPr>
          <w:rFonts w:asciiTheme="minorHAnsi" w:hAnsiTheme="minorHAnsi"/>
          <w:sz w:val="22"/>
          <w:szCs w:val="22"/>
        </w:rPr>
        <w:t xml:space="preserve">Ross S, Grant A, Counsell C, Gillespie W, Russell I, Prescott R. Barriers to participation in randomised controlled trials: a systematic review. </w:t>
      </w:r>
      <w:r w:rsidRPr="00F835C2">
        <w:rPr>
          <w:rFonts w:asciiTheme="minorHAnsi" w:hAnsiTheme="minorHAnsi"/>
          <w:i/>
          <w:sz w:val="22"/>
          <w:szCs w:val="22"/>
        </w:rPr>
        <w:t xml:space="preserve">J </w:t>
      </w:r>
      <w:proofErr w:type="spellStart"/>
      <w:r w:rsidRPr="00F835C2">
        <w:rPr>
          <w:rFonts w:asciiTheme="minorHAnsi" w:hAnsiTheme="minorHAnsi"/>
          <w:i/>
          <w:sz w:val="22"/>
          <w:szCs w:val="22"/>
        </w:rPr>
        <w:t>Clin</w:t>
      </w:r>
      <w:proofErr w:type="spellEnd"/>
      <w:r w:rsidRPr="00F835C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835C2">
        <w:rPr>
          <w:rFonts w:asciiTheme="minorHAnsi" w:hAnsiTheme="minorHAnsi"/>
          <w:i/>
          <w:sz w:val="22"/>
          <w:szCs w:val="22"/>
        </w:rPr>
        <w:t>Epidemiol</w:t>
      </w:r>
      <w:proofErr w:type="spellEnd"/>
      <w:r w:rsidRPr="00F835C2">
        <w:rPr>
          <w:rFonts w:asciiTheme="minorHAnsi" w:hAnsiTheme="minorHAnsi"/>
          <w:sz w:val="22"/>
          <w:szCs w:val="22"/>
        </w:rPr>
        <w:t>. 1999</w:t>
      </w:r>
      <w:r>
        <w:rPr>
          <w:rFonts w:asciiTheme="minorHAnsi" w:hAnsiTheme="minorHAnsi"/>
          <w:sz w:val="22"/>
          <w:szCs w:val="22"/>
        </w:rPr>
        <w:t>;</w:t>
      </w:r>
      <w:r w:rsidRPr="00F835C2">
        <w:rPr>
          <w:rFonts w:asciiTheme="minorHAnsi" w:hAnsiTheme="minorHAnsi"/>
          <w:sz w:val="22"/>
          <w:szCs w:val="22"/>
        </w:rPr>
        <w:t xml:space="preserve"> 52(12):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35C2">
        <w:rPr>
          <w:rFonts w:asciiTheme="minorHAnsi" w:hAnsiTheme="minorHAnsi"/>
          <w:sz w:val="22"/>
          <w:szCs w:val="22"/>
        </w:rPr>
        <w:t>1143-56.</w:t>
      </w:r>
    </w:p>
    <w:p w14:paraId="034CEDE0" w14:textId="78C7B7BB" w:rsidR="008401BB" w:rsidRDefault="008401BB" w:rsidP="006B0DCC">
      <w:pPr>
        <w:pStyle w:val="HTMLPreformatted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Hutton JL, Eccles M, </w:t>
      </w:r>
      <w:proofErr w:type="spellStart"/>
      <w:r>
        <w:rPr>
          <w:rFonts w:asciiTheme="minorHAnsi" w:hAnsiTheme="minorHAnsi"/>
          <w:sz w:val="22"/>
          <w:szCs w:val="22"/>
        </w:rPr>
        <w:t>Grimshaw</w:t>
      </w:r>
      <w:proofErr w:type="spellEnd"/>
      <w:r>
        <w:rPr>
          <w:rFonts w:asciiTheme="minorHAnsi" w:hAnsiTheme="minorHAnsi"/>
          <w:sz w:val="22"/>
          <w:szCs w:val="22"/>
        </w:rPr>
        <w:t xml:space="preserve"> JM.  Ethical issues in implementation research: a discussion of the problems in achieving informed consent.  Implementation Science 2008; 3:52</w:t>
      </w:r>
    </w:p>
    <w:p w14:paraId="1434F02A" w14:textId="7AD1B148" w:rsidR="00775A87" w:rsidRPr="00F835C2" w:rsidRDefault="0010719B" w:rsidP="006B0DCC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Style w:val="citation"/>
          <w:rFonts w:asciiTheme="minorHAnsi" w:hAnsiTheme="minorHAnsi"/>
          <w:sz w:val="22"/>
          <w:szCs w:val="22"/>
          <w:lang w:val="en"/>
        </w:rPr>
        <w:t xml:space="preserve">Freedman B. Equipoise and the ethics of clinical research. </w:t>
      </w:r>
      <w:r w:rsidRPr="00F835C2">
        <w:rPr>
          <w:rStyle w:val="ref-journal"/>
          <w:rFonts w:asciiTheme="minorHAnsi" w:hAnsiTheme="minorHAnsi"/>
          <w:i/>
          <w:sz w:val="22"/>
          <w:szCs w:val="22"/>
          <w:lang w:val="en"/>
        </w:rPr>
        <w:t xml:space="preserve">N </w:t>
      </w:r>
      <w:proofErr w:type="spellStart"/>
      <w:r w:rsidRPr="00F835C2">
        <w:rPr>
          <w:rStyle w:val="ref-journal"/>
          <w:rFonts w:asciiTheme="minorHAnsi" w:hAnsiTheme="minorHAnsi"/>
          <w:i/>
          <w:sz w:val="22"/>
          <w:szCs w:val="22"/>
          <w:lang w:val="en"/>
        </w:rPr>
        <w:t>Engl</w:t>
      </w:r>
      <w:proofErr w:type="spellEnd"/>
      <w:r w:rsidRPr="00F835C2">
        <w:rPr>
          <w:rStyle w:val="ref-journal"/>
          <w:rFonts w:asciiTheme="minorHAnsi" w:hAnsiTheme="minorHAnsi"/>
          <w:i/>
          <w:sz w:val="22"/>
          <w:szCs w:val="22"/>
          <w:lang w:val="en"/>
        </w:rPr>
        <w:t xml:space="preserve"> J Med</w:t>
      </w:r>
      <w:r w:rsidRPr="00F835C2">
        <w:rPr>
          <w:rStyle w:val="ref-journal"/>
          <w:rFonts w:asciiTheme="minorHAnsi" w:hAnsiTheme="minorHAnsi"/>
          <w:sz w:val="22"/>
          <w:szCs w:val="22"/>
          <w:lang w:val="en"/>
        </w:rPr>
        <w:t xml:space="preserve"> </w:t>
      </w:r>
      <w:r w:rsidRPr="00F835C2">
        <w:rPr>
          <w:rStyle w:val="citation"/>
          <w:rFonts w:asciiTheme="minorHAnsi" w:hAnsiTheme="minorHAnsi"/>
          <w:sz w:val="22"/>
          <w:szCs w:val="22"/>
          <w:lang w:val="en"/>
        </w:rPr>
        <w:t>1987;</w:t>
      </w:r>
      <w:r w:rsidR="00320A8E">
        <w:rPr>
          <w:rStyle w:val="citation"/>
          <w:rFonts w:asciiTheme="minorHAnsi" w:hAnsiTheme="minorHAnsi"/>
          <w:sz w:val="22"/>
          <w:szCs w:val="22"/>
          <w:lang w:val="en"/>
        </w:rPr>
        <w:t xml:space="preserve"> </w:t>
      </w:r>
      <w:r w:rsidRPr="00F835C2">
        <w:rPr>
          <w:rStyle w:val="ref-vol"/>
          <w:rFonts w:asciiTheme="minorHAnsi" w:hAnsiTheme="minorHAnsi"/>
          <w:sz w:val="22"/>
          <w:szCs w:val="22"/>
          <w:lang w:val="en"/>
        </w:rPr>
        <w:t>317</w:t>
      </w:r>
      <w:r w:rsidRPr="00F835C2">
        <w:rPr>
          <w:rStyle w:val="citation"/>
          <w:rFonts w:asciiTheme="minorHAnsi" w:hAnsiTheme="minorHAnsi"/>
          <w:sz w:val="22"/>
          <w:szCs w:val="22"/>
          <w:lang w:val="en"/>
        </w:rPr>
        <w:t>:</w:t>
      </w:r>
      <w:r w:rsidR="00320A8E">
        <w:rPr>
          <w:rStyle w:val="citation"/>
          <w:rFonts w:asciiTheme="minorHAnsi" w:hAnsiTheme="minorHAnsi"/>
          <w:sz w:val="22"/>
          <w:szCs w:val="22"/>
          <w:lang w:val="en"/>
        </w:rPr>
        <w:t xml:space="preserve"> </w:t>
      </w:r>
      <w:r w:rsidRPr="00F835C2">
        <w:rPr>
          <w:rStyle w:val="citation"/>
          <w:rFonts w:asciiTheme="minorHAnsi" w:hAnsiTheme="minorHAnsi"/>
          <w:sz w:val="22"/>
          <w:szCs w:val="22"/>
          <w:lang w:val="en"/>
        </w:rPr>
        <w:t>141–145.</w:t>
      </w:r>
      <w:r w:rsidR="00896F7E" w:rsidRPr="00F835C2">
        <w:rPr>
          <w:rFonts w:asciiTheme="minorHAnsi" w:eastAsia="Times New Roman" w:hAnsiTheme="minorHAnsi"/>
          <w:color w:val="000000" w:themeColor="text1"/>
          <w:sz w:val="22"/>
          <w:szCs w:val="22"/>
        </w:rPr>
        <w:br/>
      </w:r>
    </w:p>
    <w:p w14:paraId="60AD7A64" w14:textId="77777777" w:rsidR="006B2B4B" w:rsidRPr="00F835C2" w:rsidRDefault="006B2B4B" w:rsidP="006B0DC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2729558" w14:textId="77777777" w:rsidR="006B2B4B" w:rsidRPr="00F835C2" w:rsidRDefault="006B2B4B" w:rsidP="006B0DC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B039D15" w14:textId="50267C31" w:rsidR="006B2B4B" w:rsidRPr="00F835C2" w:rsidRDefault="006B2B4B" w:rsidP="006B0DCC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35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Conflict of interest: </w:t>
      </w:r>
    </w:p>
    <w:p w14:paraId="10D82E08" w14:textId="76E6F556" w:rsidR="006B2B4B" w:rsidRPr="00F835C2" w:rsidRDefault="006B2B4B" w:rsidP="006B0DC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35C2">
        <w:rPr>
          <w:rFonts w:asciiTheme="minorHAnsi" w:hAnsiTheme="minorHAnsi"/>
          <w:color w:val="000000" w:themeColor="text1"/>
          <w:sz w:val="22"/>
          <w:szCs w:val="22"/>
        </w:rPr>
        <w:t>MKC designs and conducts RCTs; she has received grant funding to undertake publicly-funded RCTs</w:t>
      </w:r>
      <w:r w:rsidR="00320A8E">
        <w:rPr>
          <w:rFonts w:asciiTheme="minorHAnsi" w:hAnsiTheme="minorHAnsi"/>
          <w:color w:val="000000" w:themeColor="text1"/>
          <w:sz w:val="22"/>
          <w:szCs w:val="22"/>
        </w:rPr>
        <w:t>;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and has </w:t>
      </w:r>
      <w:r w:rsidR="00320A8E">
        <w:rPr>
          <w:rFonts w:asciiTheme="minorHAnsi" w:hAnsiTheme="minorHAnsi"/>
          <w:color w:val="000000" w:themeColor="text1"/>
          <w:sz w:val="22"/>
          <w:szCs w:val="22"/>
        </w:rPr>
        <w:t>written on the design, methods and reporting</w:t>
      </w:r>
      <w:r w:rsidRPr="00F835C2">
        <w:rPr>
          <w:rFonts w:asciiTheme="minorHAnsi" w:hAnsiTheme="minorHAnsi"/>
          <w:color w:val="000000" w:themeColor="text1"/>
          <w:sz w:val="22"/>
          <w:szCs w:val="22"/>
        </w:rPr>
        <w:t xml:space="preserve"> of RCTs</w:t>
      </w:r>
      <w:r w:rsidR="00320A8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sectPr w:rsidR="006B2B4B" w:rsidRPr="00F8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E2365"/>
    <w:multiLevelType w:val="hybridMultilevel"/>
    <w:tmpl w:val="7EEC9F72"/>
    <w:lvl w:ilvl="0" w:tplc="0A2CBF16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E"/>
    <w:rsid w:val="0000566B"/>
    <w:rsid w:val="00046F15"/>
    <w:rsid w:val="00086C56"/>
    <w:rsid w:val="000973EA"/>
    <w:rsid w:val="000A0E41"/>
    <w:rsid w:val="000C5B7D"/>
    <w:rsid w:val="000D5E26"/>
    <w:rsid w:val="000F3CD2"/>
    <w:rsid w:val="0010311C"/>
    <w:rsid w:val="0010719B"/>
    <w:rsid w:val="00130041"/>
    <w:rsid w:val="00130E34"/>
    <w:rsid w:val="00143B89"/>
    <w:rsid w:val="001E4BBB"/>
    <w:rsid w:val="001F1487"/>
    <w:rsid w:val="0026148F"/>
    <w:rsid w:val="00293A7D"/>
    <w:rsid w:val="002D6E5B"/>
    <w:rsid w:val="00320A8E"/>
    <w:rsid w:val="00390E55"/>
    <w:rsid w:val="003A63CB"/>
    <w:rsid w:val="003C1A74"/>
    <w:rsid w:val="003E47BF"/>
    <w:rsid w:val="0041178A"/>
    <w:rsid w:val="00481BE3"/>
    <w:rsid w:val="004863A1"/>
    <w:rsid w:val="004941E2"/>
    <w:rsid w:val="004971CE"/>
    <w:rsid w:val="004C2287"/>
    <w:rsid w:val="004D1BF3"/>
    <w:rsid w:val="004D67EF"/>
    <w:rsid w:val="004F4B80"/>
    <w:rsid w:val="00502122"/>
    <w:rsid w:val="005B460F"/>
    <w:rsid w:val="005D0AC7"/>
    <w:rsid w:val="005D5E67"/>
    <w:rsid w:val="00615D69"/>
    <w:rsid w:val="00631077"/>
    <w:rsid w:val="00641CFF"/>
    <w:rsid w:val="0069302F"/>
    <w:rsid w:val="006A152F"/>
    <w:rsid w:val="006B0DCC"/>
    <w:rsid w:val="006B2B4B"/>
    <w:rsid w:val="00711EA5"/>
    <w:rsid w:val="00756325"/>
    <w:rsid w:val="00770EBE"/>
    <w:rsid w:val="00775A87"/>
    <w:rsid w:val="00780381"/>
    <w:rsid w:val="007C7E3B"/>
    <w:rsid w:val="00812BE9"/>
    <w:rsid w:val="0083243C"/>
    <w:rsid w:val="008401BB"/>
    <w:rsid w:val="00882910"/>
    <w:rsid w:val="00896146"/>
    <w:rsid w:val="00896F7E"/>
    <w:rsid w:val="008C2D09"/>
    <w:rsid w:val="009A12A9"/>
    <w:rsid w:val="009B4115"/>
    <w:rsid w:val="00A0238A"/>
    <w:rsid w:val="00A13555"/>
    <w:rsid w:val="00A339D8"/>
    <w:rsid w:val="00A6006C"/>
    <w:rsid w:val="00AB5526"/>
    <w:rsid w:val="00B27617"/>
    <w:rsid w:val="00B311F8"/>
    <w:rsid w:val="00B4168A"/>
    <w:rsid w:val="00B44818"/>
    <w:rsid w:val="00B62DD0"/>
    <w:rsid w:val="00B7513B"/>
    <w:rsid w:val="00BE0D07"/>
    <w:rsid w:val="00BF2FB5"/>
    <w:rsid w:val="00C3372D"/>
    <w:rsid w:val="00C3777E"/>
    <w:rsid w:val="00C74B37"/>
    <w:rsid w:val="00C7562B"/>
    <w:rsid w:val="00D2758B"/>
    <w:rsid w:val="00D4344B"/>
    <w:rsid w:val="00D82FE7"/>
    <w:rsid w:val="00DA7224"/>
    <w:rsid w:val="00DB0E6D"/>
    <w:rsid w:val="00E43FD7"/>
    <w:rsid w:val="00E478EC"/>
    <w:rsid w:val="00E53673"/>
    <w:rsid w:val="00F51D0E"/>
    <w:rsid w:val="00F82713"/>
    <w:rsid w:val="00F835C2"/>
    <w:rsid w:val="00FA03F5"/>
    <w:rsid w:val="00FB1C00"/>
    <w:rsid w:val="00FC2AD6"/>
    <w:rsid w:val="00FD5C5B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4C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96F7E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896F7E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96F7E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96F7E"/>
  </w:style>
  <w:style w:type="character" w:styleId="CommentReference">
    <w:name w:val="annotation reference"/>
    <w:basedOn w:val="DefaultParagraphFont"/>
    <w:uiPriority w:val="99"/>
    <w:semiHidden/>
    <w:unhideWhenUsed/>
    <w:rsid w:val="00390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55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5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55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41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BE9"/>
    <w:pPr>
      <w:ind w:left="720"/>
      <w:contextualSpacing/>
    </w:pPr>
  </w:style>
  <w:style w:type="character" w:customStyle="1" w:styleId="gmail-il">
    <w:name w:val="gmail-il"/>
    <w:basedOn w:val="DefaultParagraphFont"/>
    <w:rsid w:val="00812BE9"/>
  </w:style>
  <w:style w:type="paragraph" w:styleId="HTMLPreformatted">
    <w:name w:val="HTML Preformatted"/>
    <w:basedOn w:val="Normal"/>
    <w:link w:val="HTMLPreformattedChar"/>
    <w:uiPriority w:val="99"/>
    <w:unhideWhenUsed/>
    <w:rsid w:val="00F8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71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itation">
    <w:name w:val="citation"/>
    <w:basedOn w:val="DefaultParagraphFont"/>
    <w:rsid w:val="0010719B"/>
  </w:style>
  <w:style w:type="character" w:customStyle="1" w:styleId="ref-journal">
    <w:name w:val="ref-journal"/>
    <w:basedOn w:val="DefaultParagraphFont"/>
    <w:rsid w:val="0010719B"/>
  </w:style>
  <w:style w:type="character" w:customStyle="1" w:styleId="ref-vol">
    <w:name w:val="ref-vol"/>
    <w:basedOn w:val="DefaultParagraphFont"/>
    <w:rsid w:val="0010719B"/>
  </w:style>
  <w:style w:type="character" w:customStyle="1" w:styleId="highwire-cite-article-as">
    <w:name w:val="highwire-cite-article-as"/>
    <w:basedOn w:val="DefaultParagraphFont"/>
    <w:rsid w:val="00FD682C"/>
  </w:style>
  <w:style w:type="character" w:customStyle="1" w:styleId="italic">
    <w:name w:val="italic"/>
    <w:basedOn w:val="DefaultParagraphFont"/>
    <w:rsid w:val="00FD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96F7E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896F7E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96F7E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96F7E"/>
  </w:style>
  <w:style w:type="character" w:styleId="CommentReference">
    <w:name w:val="annotation reference"/>
    <w:basedOn w:val="DefaultParagraphFont"/>
    <w:uiPriority w:val="99"/>
    <w:semiHidden/>
    <w:unhideWhenUsed/>
    <w:rsid w:val="00390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55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5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55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41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BE9"/>
    <w:pPr>
      <w:ind w:left="720"/>
      <w:contextualSpacing/>
    </w:pPr>
  </w:style>
  <w:style w:type="character" w:customStyle="1" w:styleId="gmail-il">
    <w:name w:val="gmail-il"/>
    <w:basedOn w:val="DefaultParagraphFont"/>
    <w:rsid w:val="00812BE9"/>
  </w:style>
  <w:style w:type="paragraph" w:styleId="HTMLPreformatted">
    <w:name w:val="HTML Preformatted"/>
    <w:basedOn w:val="Normal"/>
    <w:link w:val="HTMLPreformattedChar"/>
    <w:uiPriority w:val="99"/>
    <w:unhideWhenUsed/>
    <w:rsid w:val="00F8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71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itation">
    <w:name w:val="citation"/>
    <w:basedOn w:val="DefaultParagraphFont"/>
    <w:rsid w:val="0010719B"/>
  </w:style>
  <w:style w:type="character" w:customStyle="1" w:styleId="ref-journal">
    <w:name w:val="ref-journal"/>
    <w:basedOn w:val="DefaultParagraphFont"/>
    <w:rsid w:val="0010719B"/>
  </w:style>
  <w:style w:type="character" w:customStyle="1" w:styleId="ref-vol">
    <w:name w:val="ref-vol"/>
    <w:basedOn w:val="DefaultParagraphFont"/>
    <w:rsid w:val="0010719B"/>
  </w:style>
  <w:style w:type="character" w:customStyle="1" w:styleId="highwire-cite-article-as">
    <w:name w:val="highwire-cite-article-as"/>
    <w:basedOn w:val="DefaultParagraphFont"/>
    <w:rsid w:val="00FD682C"/>
  </w:style>
  <w:style w:type="character" w:customStyle="1" w:styleId="italic">
    <w:name w:val="italic"/>
    <w:basedOn w:val="DefaultParagraphFont"/>
    <w:rsid w:val="00FD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crc.org/research-infrastructure/clinical-research-networks/uk-clinical-research-network-ukc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7DE7-BFD3-4C70-B091-E034ED77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Campbell</dc:creator>
  <cp:lastModifiedBy>Marion Campbell</cp:lastModifiedBy>
  <cp:revision>3</cp:revision>
  <cp:lastPrinted>2017-04-12T09:18:00Z</cp:lastPrinted>
  <dcterms:created xsi:type="dcterms:W3CDTF">2017-05-23T16:13:00Z</dcterms:created>
  <dcterms:modified xsi:type="dcterms:W3CDTF">2017-05-23T16:26:00Z</dcterms:modified>
</cp:coreProperties>
</file>