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2C" w:rsidRPr="00200C47" w:rsidRDefault="00E6642C" w:rsidP="005158B5">
      <w:pPr>
        <w:autoSpaceDE w:val="0"/>
        <w:autoSpaceDN w:val="0"/>
        <w:adjustRightInd w:val="0"/>
        <w:spacing w:after="0" w:line="480" w:lineRule="auto"/>
        <w:jc w:val="both"/>
        <w:rPr>
          <w:rFonts w:ascii="Arial" w:hAnsi="Arial" w:cs="Arial"/>
          <w:b/>
          <w:sz w:val="32"/>
          <w:szCs w:val="32"/>
        </w:rPr>
      </w:pPr>
      <w:bookmarkStart w:id="0" w:name="_GoBack"/>
      <w:bookmarkEnd w:id="0"/>
      <w:r w:rsidRPr="00200C47">
        <w:rPr>
          <w:rFonts w:ascii="Arial" w:hAnsi="Arial" w:cs="Arial"/>
          <w:b/>
          <w:sz w:val="32"/>
          <w:szCs w:val="32"/>
        </w:rPr>
        <w:t>Policy Consultation and Political Styles: Renewable energy consultations in the UK and Denmark</w:t>
      </w:r>
    </w:p>
    <w:p w:rsidR="00E6642C" w:rsidRDefault="00E6642C" w:rsidP="005158B5">
      <w:pPr>
        <w:autoSpaceDE w:val="0"/>
        <w:autoSpaceDN w:val="0"/>
        <w:adjustRightInd w:val="0"/>
        <w:spacing w:after="0" w:line="480" w:lineRule="auto"/>
        <w:jc w:val="both"/>
        <w:rPr>
          <w:rFonts w:ascii="Arial" w:hAnsi="Arial" w:cs="Arial"/>
          <w:b/>
        </w:rPr>
      </w:pPr>
    </w:p>
    <w:p w:rsidR="00E6642C" w:rsidRPr="000340EF" w:rsidRDefault="00E6642C" w:rsidP="005158B5">
      <w:pPr>
        <w:autoSpaceDE w:val="0"/>
        <w:autoSpaceDN w:val="0"/>
        <w:adjustRightInd w:val="0"/>
        <w:spacing w:after="0" w:line="480" w:lineRule="auto"/>
        <w:jc w:val="both"/>
        <w:rPr>
          <w:rFonts w:ascii="Arial" w:hAnsi="Arial" w:cs="Arial"/>
          <w:b/>
        </w:rPr>
      </w:pPr>
    </w:p>
    <w:p w:rsidR="0062199C" w:rsidRDefault="0062199C" w:rsidP="005158B5">
      <w:pPr>
        <w:autoSpaceDE w:val="0"/>
        <w:autoSpaceDN w:val="0"/>
        <w:adjustRightInd w:val="0"/>
        <w:spacing w:after="0" w:line="480" w:lineRule="auto"/>
        <w:jc w:val="both"/>
        <w:rPr>
          <w:rFonts w:ascii="Arial" w:hAnsi="Arial" w:cs="Arial"/>
          <w:b/>
          <w:sz w:val="28"/>
          <w:szCs w:val="28"/>
        </w:rPr>
      </w:pPr>
    </w:p>
    <w:p w:rsidR="0062199C" w:rsidRDefault="00E6642C" w:rsidP="005158B5">
      <w:pPr>
        <w:autoSpaceDE w:val="0"/>
        <w:autoSpaceDN w:val="0"/>
        <w:adjustRightInd w:val="0"/>
        <w:spacing w:after="0" w:line="480" w:lineRule="auto"/>
        <w:jc w:val="both"/>
        <w:rPr>
          <w:rFonts w:ascii="Arial" w:hAnsi="Arial" w:cs="Arial"/>
          <w:b/>
          <w:sz w:val="28"/>
          <w:szCs w:val="28"/>
        </w:rPr>
      </w:pPr>
      <w:r w:rsidRPr="00200C47">
        <w:rPr>
          <w:rFonts w:ascii="Arial" w:hAnsi="Arial" w:cs="Arial"/>
          <w:b/>
          <w:sz w:val="28"/>
          <w:szCs w:val="28"/>
        </w:rPr>
        <w:t>David Toke</w:t>
      </w:r>
    </w:p>
    <w:p w:rsidR="0062199C" w:rsidRDefault="0062199C" w:rsidP="005158B5">
      <w:pPr>
        <w:autoSpaceDE w:val="0"/>
        <w:autoSpaceDN w:val="0"/>
        <w:adjustRightInd w:val="0"/>
        <w:spacing w:after="0" w:line="480" w:lineRule="auto"/>
        <w:jc w:val="both"/>
        <w:rPr>
          <w:rFonts w:ascii="Arial" w:hAnsi="Arial" w:cs="Arial"/>
        </w:rPr>
      </w:pPr>
      <w:r w:rsidRPr="00A87C4B">
        <w:rPr>
          <w:rFonts w:ascii="Arial" w:hAnsi="Arial" w:cs="Arial"/>
        </w:rPr>
        <w:t>Department of Polit</w:t>
      </w:r>
      <w:r>
        <w:rPr>
          <w:rFonts w:ascii="Arial" w:hAnsi="Arial" w:cs="Arial"/>
        </w:rPr>
        <w:t>ics and International Relations</w:t>
      </w:r>
    </w:p>
    <w:p w:rsidR="0062199C" w:rsidRDefault="0062199C" w:rsidP="005158B5">
      <w:pPr>
        <w:autoSpaceDE w:val="0"/>
        <w:autoSpaceDN w:val="0"/>
        <w:adjustRightInd w:val="0"/>
        <w:spacing w:after="0" w:line="480" w:lineRule="auto"/>
        <w:jc w:val="both"/>
        <w:rPr>
          <w:rFonts w:ascii="Arial" w:hAnsi="Arial" w:cs="Arial"/>
        </w:rPr>
      </w:pPr>
      <w:r>
        <w:rPr>
          <w:rFonts w:ascii="Arial" w:hAnsi="Arial" w:cs="Arial"/>
        </w:rPr>
        <w:t>University of Aberdeen</w:t>
      </w:r>
    </w:p>
    <w:p w:rsidR="0062199C" w:rsidRDefault="0062199C" w:rsidP="005158B5">
      <w:pPr>
        <w:autoSpaceDE w:val="0"/>
        <w:autoSpaceDN w:val="0"/>
        <w:adjustRightInd w:val="0"/>
        <w:spacing w:after="0" w:line="480" w:lineRule="auto"/>
        <w:jc w:val="both"/>
        <w:rPr>
          <w:rFonts w:ascii="Arial" w:hAnsi="Arial" w:cs="Arial"/>
        </w:rPr>
      </w:pPr>
      <w:r w:rsidRPr="00A87C4B">
        <w:rPr>
          <w:rFonts w:ascii="Arial" w:hAnsi="Arial" w:cs="Arial"/>
        </w:rPr>
        <w:t>King's</w:t>
      </w:r>
      <w:r>
        <w:rPr>
          <w:rFonts w:ascii="Arial" w:hAnsi="Arial" w:cs="Arial"/>
        </w:rPr>
        <w:t xml:space="preserve"> College Regents Walk</w:t>
      </w:r>
    </w:p>
    <w:p w:rsidR="0062199C" w:rsidRDefault="0062199C" w:rsidP="005158B5">
      <w:pPr>
        <w:autoSpaceDE w:val="0"/>
        <w:autoSpaceDN w:val="0"/>
        <w:adjustRightInd w:val="0"/>
        <w:spacing w:after="0" w:line="480" w:lineRule="auto"/>
        <w:jc w:val="both"/>
        <w:rPr>
          <w:rFonts w:ascii="Arial" w:hAnsi="Arial" w:cs="Arial"/>
        </w:rPr>
      </w:pPr>
      <w:r w:rsidRPr="00A87C4B">
        <w:rPr>
          <w:rFonts w:ascii="Arial" w:hAnsi="Arial" w:cs="Arial"/>
        </w:rPr>
        <w:t>Aberdeen</w:t>
      </w:r>
      <w:r>
        <w:rPr>
          <w:rFonts w:ascii="Arial" w:hAnsi="Arial" w:cs="Arial"/>
        </w:rPr>
        <w:t>,</w:t>
      </w:r>
      <w:r w:rsidRPr="00A87C4B">
        <w:rPr>
          <w:rFonts w:ascii="Arial" w:hAnsi="Arial" w:cs="Arial"/>
        </w:rPr>
        <w:t xml:space="preserve"> AB24 3FX</w:t>
      </w:r>
    </w:p>
    <w:p w:rsidR="0062199C" w:rsidRDefault="00FA0A41" w:rsidP="005158B5">
      <w:pPr>
        <w:autoSpaceDE w:val="0"/>
        <w:autoSpaceDN w:val="0"/>
        <w:adjustRightInd w:val="0"/>
        <w:spacing w:after="0" w:line="480" w:lineRule="auto"/>
        <w:jc w:val="both"/>
        <w:rPr>
          <w:rStyle w:val="Hyperlink"/>
          <w:rFonts w:ascii="Arial" w:hAnsi="Arial" w:cs="Arial"/>
          <w:color w:val="auto"/>
          <w:u w:val="none"/>
        </w:rPr>
      </w:pPr>
      <w:hyperlink r:id="rId7" w:history="1">
        <w:r w:rsidR="0062199C" w:rsidRPr="00A87C4B">
          <w:rPr>
            <w:rStyle w:val="Hyperlink"/>
            <w:rFonts w:ascii="Arial" w:hAnsi="Arial" w:cs="Arial"/>
            <w:color w:val="auto"/>
            <w:u w:val="none"/>
          </w:rPr>
          <w:t>d.toke@abdn.ac.uk</w:t>
        </w:r>
      </w:hyperlink>
    </w:p>
    <w:p w:rsidR="0062199C" w:rsidRDefault="0062199C" w:rsidP="005158B5">
      <w:pPr>
        <w:autoSpaceDE w:val="0"/>
        <w:autoSpaceDN w:val="0"/>
        <w:adjustRightInd w:val="0"/>
        <w:spacing w:after="0" w:line="480" w:lineRule="auto"/>
        <w:jc w:val="both"/>
        <w:rPr>
          <w:rStyle w:val="Hyperlink"/>
          <w:rFonts w:ascii="Arial" w:hAnsi="Arial" w:cs="Arial"/>
          <w:color w:val="auto"/>
          <w:u w:val="none"/>
        </w:rPr>
      </w:pPr>
    </w:p>
    <w:p w:rsidR="0062199C" w:rsidRDefault="0062199C" w:rsidP="005158B5">
      <w:pPr>
        <w:autoSpaceDE w:val="0"/>
        <w:autoSpaceDN w:val="0"/>
        <w:adjustRightInd w:val="0"/>
        <w:spacing w:after="0" w:line="480" w:lineRule="auto"/>
        <w:jc w:val="both"/>
        <w:rPr>
          <w:rFonts w:ascii="Arial" w:hAnsi="Arial" w:cs="Arial"/>
          <w:b/>
          <w:sz w:val="28"/>
          <w:szCs w:val="28"/>
        </w:rPr>
      </w:pPr>
    </w:p>
    <w:p w:rsidR="00E6642C" w:rsidRPr="00200C47" w:rsidRDefault="00E6642C" w:rsidP="005158B5">
      <w:pPr>
        <w:autoSpaceDE w:val="0"/>
        <w:autoSpaceDN w:val="0"/>
        <w:adjustRightInd w:val="0"/>
        <w:spacing w:after="0" w:line="480" w:lineRule="auto"/>
        <w:jc w:val="both"/>
        <w:rPr>
          <w:rFonts w:ascii="Arial" w:hAnsi="Arial" w:cs="Arial"/>
          <w:b/>
          <w:color w:val="000000"/>
          <w:sz w:val="28"/>
          <w:szCs w:val="28"/>
          <w:shd w:val="clear" w:color="auto" w:fill="FFFFFF"/>
        </w:rPr>
      </w:pPr>
      <w:r w:rsidRPr="00200C47">
        <w:rPr>
          <w:rFonts w:ascii="Arial" w:hAnsi="Arial" w:cs="Arial"/>
          <w:b/>
          <w:color w:val="000000"/>
          <w:sz w:val="28"/>
          <w:szCs w:val="28"/>
          <w:shd w:val="clear" w:color="auto" w:fill="FFFFFF"/>
        </w:rPr>
        <w:t>HelleØrsted Nielsen</w:t>
      </w:r>
    </w:p>
    <w:p w:rsidR="0062199C" w:rsidRPr="00BF0B22" w:rsidRDefault="00FA0A41" w:rsidP="005158B5">
      <w:pPr>
        <w:autoSpaceDE w:val="0"/>
        <w:autoSpaceDN w:val="0"/>
        <w:adjustRightInd w:val="0"/>
        <w:spacing w:after="0" w:line="480" w:lineRule="auto"/>
        <w:jc w:val="both"/>
      </w:pPr>
      <w:hyperlink r:id="rId8" w:history="1">
        <w:r w:rsidR="00FF61FC" w:rsidRPr="00FF61FC">
          <w:t>Department of Political Science Science</w:t>
        </w:r>
      </w:hyperlink>
    </w:p>
    <w:p w:rsidR="0063014E" w:rsidRPr="00BF0B22" w:rsidRDefault="00FF61FC" w:rsidP="005158B5">
      <w:pPr>
        <w:autoSpaceDE w:val="0"/>
        <w:autoSpaceDN w:val="0"/>
        <w:adjustRightInd w:val="0"/>
        <w:spacing w:after="0" w:line="480" w:lineRule="auto"/>
        <w:jc w:val="both"/>
      </w:pPr>
      <w:r w:rsidRPr="00FF61FC">
        <w:t>and Department of EnvironmentalScience</w:t>
      </w:r>
    </w:p>
    <w:p w:rsidR="0062199C" w:rsidRPr="00BF0B22" w:rsidRDefault="00FF61FC" w:rsidP="005158B5">
      <w:pPr>
        <w:autoSpaceDE w:val="0"/>
        <w:autoSpaceDN w:val="0"/>
        <w:adjustRightInd w:val="0"/>
        <w:spacing w:after="0" w:line="480" w:lineRule="auto"/>
        <w:jc w:val="both"/>
        <w:rPr>
          <w:rFonts w:ascii="Arial" w:hAnsi="Arial" w:cs="Arial"/>
        </w:rPr>
      </w:pPr>
      <w:r w:rsidRPr="00FF61FC">
        <w:rPr>
          <w:rFonts w:ascii="Arial" w:hAnsi="Arial" w:cs="Arial"/>
        </w:rPr>
        <w:t xml:space="preserve">BartholinsAllé 7, 8000 Aarhus C, </w:t>
      </w:r>
    </w:p>
    <w:p w:rsidR="0062199C" w:rsidRPr="00BF0B22" w:rsidRDefault="00FF61FC" w:rsidP="005158B5">
      <w:pPr>
        <w:autoSpaceDE w:val="0"/>
        <w:autoSpaceDN w:val="0"/>
        <w:adjustRightInd w:val="0"/>
        <w:spacing w:after="0" w:line="480" w:lineRule="auto"/>
        <w:jc w:val="both"/>
        <w:rPr>
          <w:rFonts w:ascii="Arial" w:hAnsi="Arial" w:cs="Arial"/>
        </w:rPr>
      </w:pPr>
      <w:r w:rsidRPr="00FF61FC">
        <w:rPr>
          <w:rFonts w:ascii="Arial" w:hAnsi="Arial" w:cs="Arial"/>
        </w:rPr>
        <w:t xml:space="preserve">Denmark, </w:t>
      </w:r>
    </w:p>
    <w:p w:rsidR="00E6642C" w:rsidRPr="00BF0B22" w:rsidRDefault="00FA0A41" w:rsidP="005158B5">
      <w:pPr>
        <w:autoSpaceDE w:val="0"/>
        <w:autoSpaceDN w:val="0"/>
        <w:adjustRightInd w:val="0"/>
        <w:spacing w:after="0" w:line="480" w:lineRule="auto"/>
        <w:jc w:val="both"/>
        <w:rPr>
          <w:rFonts w:ascii="Arial" w:hAnsi="Arial" w:cs="Arial"/>
        </w:rPr>
      </w:pPr>
      <w:hyperlink r:id="rId9" w:history="1">
        <w:r w:rsidR="00FF61FC" w:rsidRPr="00FF61FC">
          <w:t>hon@envs.dk</w:t>
        </w:r>
      </w:hyperlink>
    </w:p>
    <w:p w:rsidR="00E6642C" w:rsidRDefault="00E6642C" w:rsidP="005158B5">
      <w:pPr>
        <w:autoSpaceDE w:val="0"/>
        <w:autoSpaceDN w:val="0"/>
        <w:adjustRightInd w:val="0"/>
        <w:spacing w:after="0" w:line="480" w:lineRule="auto"/>
        <w:jc w:val="both"/>
        <w:rPr>
          <w:rFonts w:ascii="Arial" w:hAnsi="Arial" w:cs="Arial"/>
          <w:b/>
          <w:color w:val="000000"/>
          <w:shd w:val="clear" w:color="auto" w:fill="FFFFFF"/>
        </w:rPr>
      </w:pPr>
    </w:p>
    <w:p w:rsidR="00E6642C" w:rsidRPr="00A87C4B" w:rsidRDefault="00E6642C" w:rsidP="005158B5">
      <w:pPr>
        <w:autoSpaceDE w:val="0"/>
        <w:autoSpaceDN w:val="0"/>
        <w:adjustRightInd w:val="0"/>
        <w:spacing w:after="0" w:line="480" w:lineRule="auto"/>
        <w:jc w:val="both"/>
        <w:rPr>
          <w:rFonts w:ascii="Arial" w:hAnsi="Arial" w:cs="Arial"/>
          <w:b/>
          <w:shd w:val="clear" w:color="auto" w:fill="FFFFFF"/>
        </w:rPr>
      </w:pPr>
    </w:p>
    <w:p w:rsidR="0062199C" w:rsidRDefault="0062199C" w:rsidP="005158B5">
      <w:pPr>
        <w:autoSpaceDE w:val="0"/>
        <w:autoSpaceDN w:val="0"/>
        <w:adjustRightInd w:val="0"/>
        <w:spacing w:after="0" w:line="480" w:lineRule="auto"/>
        <w:jc w:val="both"/>
        <w:rPr>
          <w:rFonts w:ascii="Arial" w:hAnsi="Arial" w:cs="Arial"/>
          <w:b/>
          <w:sz w:val="24"/>
          <w:szCs w:val="24"/>
        </w:rPr>
      </w:pPr>
    </w:p>
    <w:p w:rsidR="0062199C" w:rsidRDefault="0062199C" w:rsidP="005158B5">
      <w:pPr>
        <w:autoSpaceDE w:val="0"/>
        <w:autoSpaceDN w:val="0"/>
        <w:adjustRightInd w:val="0"/>
        <w:spacing w:after="0" w:line="480" w:lineRule="auto"/>
        <w:jc w:val="both"/>
        <w:rPr>
          <w:rFonts w:ascii="Arial" w:hAnsi="Arial" w:cs="Arial"/>
          <w:b/>
          <w:sz w:val="24"/>
          <w:szCs w:val="24"/>
        </w:rPr>
      </w:pPr>
    </w:p>
    <w:p w:rsidR="0062199C" w:rsidRDefault="0062199C" w:rsidP="005158B5">
      <w:pPr>
        <w:autoSpaceDE w:val="0"/>
        <w:autoSpaceDN w:val="0"/>
        <w:adjustRightInd w:val="0"/>
        <w:spacing w:after="0" w:line="480" w:lineRule="auto"/>
        <w:jc w:val="both"/>
        <w:rPr>
          <w:rFonts w:ascii="Arial" w:hAnsi="Arial" w:cs="Arial"/>
          <w:b/>
          <w:sz w:val="24"/>
          <w:szCs w:val="24"/>
        </w:rPr>
      </w:pPr>
    </w:p>
    <w:p w:rsidR="0062199C" w:rsidRPr="0062199C" w:rsidRDefault="0062199C" w:rsidP="005158B5">
      <w:pPr>
        <w:autoSpaceDE w:val="0"/>
        <w:autoSpaceDN w:val="0"/>
        <w:adjustRightInd w:val="0"/>
        <w:spacing w:after="0" w:line="480" w:lineRule="auto"/>
        <w:jc w:val="both"/>
        <w:rPr>
          <w:rFonts w:ascii="Arial" w:hAnsi="Arial" w:cs="Arial"/>
          <w:b/>
          <w:sz w:val="24"/>
          <w:szCs w:val="24"/>
        </w:rPr>
      </w:pPr>
      <w:r w:rsidRPr="0062199C">
        <w:rPr>
          <w:rFonts w:ascii="Arial" w:hAnsi="Arial" w:cs="Arial"/>
          <w:b/>
          <w:sz w:val="24"/>
          <w:szCs w:val="24"/>
        </w:rPr>
        <w:t>Abstract</w:t>
      </w:r>
    </w:p>
    <w:p w:rsidR="0062199C" w:rsidRPr="0062199C" w:rsidRDefault="0062199C" w:rsidP="005158B5">
      <w:pPr>
        <w:autoSpaceDE w:val="0"/>
        <w:autoSpaceDN w:val="0"/>
        <w:adjustRightInd w:val="0"/>
        <w:spacing w:after="0" w:line="480" w:lineRule="auto"/>
        <w:jc w:val="both"/>
        <w:rPr>
          <w:rFonts w:ascii="Arial" w:hAnsi="Arial" w:cs="Arial"/>
          <w:sz w:val="24"/>
          <w:szCs w:val="24"/>
        </w:rPr>
      </w:pPr>
      <w:r w:rsidRPr="0062199C">
        <w:rPr>
          <w:rFonts w:ascii="Arial" w:hAnsi="Arial" w:cs="Arial"/>
          <w:sz w:val="24"/>
          <w:szCs w:val="24"/>
        </w:rPr>
        <w:lastRenderedPageBreak/>
        <w:t xml:space="preserve">There is a </w:t>
      </w:r>
      <w:r w:rsidR="00074C6D">
        <w:rPr>
          <w:rFonts w:ascii="Arial" w:hAnsi="Arial" w:cs="Arial"/>
          <w:sz w:val="24"/>
          <w:szCs w:val="24"/>
        </w:rPr>
        <w:t xml:space="preserve">discussion </w:t>
      </w:r>
      <w:r w:rsidR="00410535">
        <w:rPr>
          <w:rFonts w:ascii="Arial" w:hAnsi="Arial" w:cs="Arial"/>
          <w:sz w:val="24"/>
          <w:szCs w:val="24"/>
        </w:rPr>
        <w:t>am</w:t>
      </w:r>
      <w:r w:rsidRPr="0062199C">
        <w:rPr>
          <w:rFonts w:ascii="Arial" w:hAnsi="Arial" w:cs="Arial"/>
          <w:sz w:val="24"/>
          <w:szCs w:val="24"/>
        </w:rPr>
        <w:t xml:space="preserve">ong political scientists </w:t>
      </w:r>
      <w:r w:rsidR="00074C6D">
        <w:rPr>
          <w:rFonts w:ascii="Arial" w:hAnsi="Arial" w:cs="Arial"/>
          <w:sz w:val="24"/>
          <w:szCs w:val="24"/>
        </w:rPr>
        <w:t xml:space="preserve">about the extent to which </w:t>
      </w:r>
      <w:r w:rsidRPr="0062199C">
        <w:rPr>
          <w:rFonts w:ascii="Arial" w:hAnsi="Arial" w:cs="Arial"/>
          <w:sz w:val="24"/>
          <w:szCs w:val="24"/>
        </w:rPr>
        <w:t xml:space="preserve"> there are differences in policy styles between western European states</w:t>
      </w:r>
      <w:r>
        <w:rPr>
          <w:rFonts w:ascii="Arial" w:hAnsi="Arial" w:cs="Arial"/>
          <w:sz w:val="24"/>
          <w:szCs w:val="24"/>
        </w:rPr>
        <w:t>,</w:t>
      </w:r>
      <w:r w:rsidR="00074C6D">
        <w:rPr>
          <w:rFonts w:ascii="Arial" w:hAnsi="Arial" w:cs="Arial"/>
          <w:sz w:val="24"/>
          <w:szCs w:val="24"/>
        </w:rPr>
        <w:t xml:space="preserve">including in particular whether </w:t>
      </w:r>
      <w:r w:rsidRPr="0062199C">
        <w:rPr>
          <w:rFonts w:ascii="Arial" w:hAnsi="Arial" w:cs="Arial"/>
          <w:sz w:val="24"/>
          <w:szCs w:val="24"/>
        </w:rPr>
        <w:t xml:space="preserve"> they share common means of consulting and deciding policy thr</w:t>
      </w:r>
      <w:r w:rsidR="00F07FFB">
        <w:rPr>
          <w:rFonts w:ascii="Arial" w:hAnsi="Arial" w:cs="Arial"/>
          <w:sz w:val="24"/>
          <w:szCs w:val="24"/>
        </w:rPr>
        <w:t>ough policy networks. This paper</w:t>
      </w:r>
      <w:r w:rsidRPr="0062199C">
        <w:rPr>
          <w:rFonts w:ascii="Arial" w:hAnsi="Arial" w:cs="Arial"/>
          <w:sz w:val="24"/>
          <w:szCs w:val="24"/>
        </w:rPr>
        <w:t xml:space="preserve"> studies the differences in policy consultation approaches between Denmark and the UK in the case of renewable energy. It further examines whether consultation patterns differ in the policy formation and the policy implementation phases. It is found that while in both Danish and British cases there is decision-making through policy communities there are still some clear differences in the ways in which consultation takes place and decisions made at both the levels of policy formation and policy implementation. </w:t>
      </w:r>
    </w:p>
    <w:p w:rsidR="0062199C" w:rsidRPr="0062199C" w:rsidRDefault="0062199C" w:rsidP="005158B5">
      <w:pPr>
        <w:autoSpaceDE w:val="0"/>
        <w:autoSpaceDN w:val="0"/>
        <w:adjustRightInd w:val="0"/>
        <w:spacing w:after="0" w:line="480" w:lineRule="auto"/>
        <w:jc w:val="both"/>
        <w:rPr>
          <w:rFonts w:ascii="Arial" w:hAnsi="Arial" w:cs="Arial"/>
          <w:sz w:val="24"/>
          <w:szCs w:val="24"/>
        </w:rPr>
      </w:pPr>
    </w:p>
    <w:p w:rsidR="0062199C" w:rsidRPr="0062199C" w:rsidRDefault="0062199C" w:rsidP="005158B5">
      <w:pPr>
        <w:autoSpaceDE w:val="0"/>
        <w:autoSpaceDN w:val="0"/>
        <w:adjustRightInd w:val="0"/>
        <w:spacing w:after="0" w:line="480" w:lineRule="auto"/>
        <w:jc w:val="both"/>
        <w:rPr>
          <w:rFonts w:ascii="Arial" w:hAnsi="Arial" w:cs="Arial"/>
          <w:b/>
          <w:sz w:val="24"/>
          <w:szCs w:val="24"/>
        </w:rPr>
      </w:pPr>
      <w:r w:rsidRPr="0062199C">
        <w:rPr>
          <w:rFonts w:ascii="Arial" w:hAnsi="Arial" w:cs="Arial"/>
          <w:b/>
          <w:sz w:val="24"/>
          <w:szCs w:val="24"/>
        </w:rPr>
        <w:t>Key words:</w:t>
      </w:r>
      <w:r w:rsidRPr="0062199C">
        <w:rPr>
          <w:rFonts w:ascii="Arial" w:hAnsi="Arial" w:cs="Arial"/>
          <w:sz w:val="24"/>
          <w:szCs w:val="24"/>
        </w:rPr>
        <w:t xml:space="preserve"> consultation; renewable energy; Denmark; UK</w:t>
      </w:r>
    </w:p>
    <w:p w:rsidR="00E6642C" w:rsidRDefault="00E6642C" w:rsidP="005158B5">
      <w:pPr>
        <w:spacing w:line="480" w:lineRule="auto"/>
        <w:jc w:val="both"/>
        <w:rPr>
          <w:rFonts w:ascii="Arial" w:hAnsi="Arial" w:cs="Arial"/>
          <w:sz w:val="24"/>
          <w:szCs w:val="24"/>
        </w:rPr>
      </w:pPr>
    </w:p>
    <w:p w:rsidR="00E6642C" w:rsidRDefault="00E6642C" w:rsidP="005158B5">
      <w:pPr>
        <w:spacing w:line="480" w:lineRule="auto"/>
        <w:jc w:val="both"/>
        <w:rPr>
          <w:rFonts w:ascii="Arial" w:hAnsi="Arial" w:cs="Arial"/>
          <w:sz w:val="24"/>
          <w:szCs w:val="24"/>
        </w:rPr>
      </w:pPr>
    </w:p>
    <w:p w:rsidR="00E6642C" w:rsidRDefault="00E6642C" w:rsidP="005158B5">
      <w:pPr>
        <w:spacing w:line="480" w:lineRule="auto"/>
        <w:jc w:val="both"/>
        <w:rPr>
          <w:rFonts w:ascii="Arial" w:hAnsi="Arial" w:cs="Arial"/>
          <w:sz w:val="24"/>
          <w:szCs w:val="24"/>
        </w:rPr>
      </w:pPr>
    </w:p>
    <w:p w:rsidR="00E6642C" w:rsidRDefault="00E6642C" w:rsidP="005158B5">
      <w:pPr>
        <w:spacing w:line="480" w:lineRule="auto"/>
        <w:jc w:val="both"/>
        <w:rPr>
          <w:rFonts w:ascii="Arial" w:hAnsi="Arial" w:cs="Arial"/>
          <w:sz w:val="24"/>
          <w:szCs w:val="24"/>
        </w:rPr>
      </w:pPr>
    </w:p>
    <w:p w:rsidR="00E6642C" w:rsidRDefault="00E6642C" w:rsidP="005158B5">
      <w:pPr>
        <w:spacing w:line="480" w:lineRule="auto"/>
        <w:jc w:val="both"/>
        <w:rPr>
          <w:rFonts w:ascii="Arial" w:hAnsi="Arial" w:cs="Arial"/>
          <w:sz w:val="24"/>
          <w:szCs w:val="24"/>
        </w:rPr>
      </w:pPr>
    </w:p>
    <w:p w:rsidR="00E6642C" w:rsidRDefault="00E6642C" w:rsidP="005158B5">
      <w:pPr>
        <w:spacing w:line="480" w:lineRule="auto"/>
        <w:jc w:val="both"/>
        <w:rPr>
          <w:rFonts w:ascii="Arial" w:hAnsi="Arial" w:cs="Arial"/>
          <w:sz w:val="24"/>
          <w:szCs w:val="24"/>
        </w:rPr>
      </w:pPr>
    </w:p>
    <w:p w:rsidR="00E6642C" w:rsidRDefault="00E6642C" w:rsidP="005158B5">
      <w:pPr>
        <w:spacing w:line="480" w:lineRule="auto"/>
        <w:jc w:val="both"/>
        <w:rPr>
          <w:rFonts w:ascii="Arial" w:hAnsi="Arial" w:cs="Arial"/>
          <w:sz w:val="24"/>
          <w:szCs w:val="24"/>
        </w:rPr>
      </w:pPr>
    </w:p>
    <w:p w:rsidR="00BE0055" w:rsidRDefault="0092462E" w:rsidP="005158B5">
      <w:pPr>
        <w:autoSpaceDE w:val="0"/>
        <w:autoSpaceDN w:val="0"/>
        <w:adjustRightInd w:val="0"/>
        <w:spacing w:after="0" w:line="480" w:lineRule="auto"/>
        <w:jc w:val="both"/>
        <w:rPr>
          <w:rFonts w:ascii="Arial" w:hAnsi="Arial" w:cs="Arial"/>
        </w:rPr>
      </w:pPr>
      <w:r>
        <w:rPr>
          <w:rFonts w:ascii="Arial" w:hAnsi="Arial" w:cs="Arial"/>
        </w:rPr>
        <w:t>Th</w:t>
      </w:r>
      <w:r w:rsidR="005763D4">
        <w:rPr>
          <w:rFonts w:ascii="Arial" w:hAnsi="Arial" w:cs="Arial"/>
        </w:rPr>
        <w:t xml:space="preserve">is paper compares </w:t>
      </w:r>
      <w:r>
        <w:rPr>
          <w:rFonts w:ascii="Arial" w:hAnsi="Arial" w:cs="Arial"/>
        </w:rPr>
        <w:t>policy styles in the UK and Denmark in the case of consultation over renewable energy policies. Discussion over the nature and significance of differences in policy styles is itself a subject of interest among political scientists</w:t>
      </w:r>
      <w:r w:rsidR="00C4768C">
        <w:rPr>
          <w:rFonts w:ascii="Arial" w:hAnsi="Arial" w:cs="Arial"/>
        </w:rPr>
        <w:t xml:space="preserve">. Greer and Jarman (2008, 168) </w:t>
      </w:r>
      <w:r w:rsidR="00E6642C">
        <w:rPr>
          <w:rFonts w:ascii="Arial" w:hAnsi="Arial" w:cs="Arial"/>
        </w:rPr>
        <w:t>describe political styles</w:t>
      </w:r>
      <w:r w:rsidR="00DB53AB">
        <w:rPr>
          <w:rFonts w:ascii="Arial" w:hAnsi="Arial" w:cs="Arial"/>
        </w:rPr>
        <w:t xml:space="preserve"> as</w:t>
      </w:r>
      <w:r w:rsidR="00FC5FB7">
        <w:rPr>
          <w:rFonts w:ascii="Arial" w:hAnsi="Arial" w:cs="Arial"/>
        </w:rPr>
        <w:t xml:space="preserve"> such</w:t>
      </w:r>
      <w:r w:rsidR="00C4768C">
        <w:rPr>
          <w:rFonts w:ascii="Arial" w:hAnsi="Arial" w:cs="Arial"/>
        </w:rPr>
        <w:t xml:space="preserve">: ‘Analytically, a policy style is an outcome. If a political </w:t>
      </w:r>
      <w:r w:rsidR="00C4768C">
        <w:rPr>
          <w:rFonts w:ascii="Arial" w:hAnsi="Arial" w:cs="Arial"/>
        </w:rPr>
        <w:lastRenderedPageBreak/>
        <w:t>system chooses the same options over and over again in different fields,</w:t>
      </w:r>
      <w:r w:rsidR="00774734">
        <w:rPr>
          <w:rFonts w:ascii="Arial" w:hAnsi="Arial" w:cs="Arial"/>
        </w:rPr>
        <w:t xml:space="preserve"> </w:t>
      </w:r>
      <w:r w:rsidR="00C4768C">
        <w:rPr>
          <w:rFonts w:ascii="Arial" w:hAnsi="Arial" w:cs="Arial"/>
        </w:rPr>
        <w:t xml:space="preserve">that is a product of its internal functioning.’ </w:t>
      </w:r>
    </w:p>
    <w:p w:rsidR="00BE0055" w:rsidRDefault="00BE0055" w:rsidP="005158B5">
      <w:pPr>
        <w:autoSpaceDE w:val="0"/>
        <w:autoSpaceDN w:val="0"/>
        <w:adjustRightInd w:val="0"/>
        <w:spacing w:after="0" w:line="480" w:lineRule="auto"/>
        <w:jc w:val="both"/>
        <w:rPr>
          <w:rFonts w:ascii="Arial" w:hAnsi="Arial" w:cs="Arial"/>
        </w:rPr>
      </w:pPr>
    </w:p>
    <w:p w:rsidR="008F575D" w:rsidRDefault="00BE0055" w:rsidP="005158B5">
      <w:pPr>
        <w:autoSpaceDE w:val="0"/>
        <w:autoSpaceDN w:val="0"/>
        <w:adjustRightInd w:val="0"/>
        <w:spacing w:after="0" w:line="480" w:lineRule="auto"/>
        <w:jc w:val="both"/>
        <w:rPr>
          <w:rFonts w:ascii="Arial" w:hAnsi="Arial" w:cs="Arial"/>
        </w:rPr>
      </w:pPr>
      <w:r>
        <w:rPr>
          <w:rFonts w:ascii="Arial" w:hAnsi="Arial" w:cs="Arial"/>
        </w:rPr>
        <w:t>Although there has been much debate about differences in policy styles (Richardson  (ed</w:t>
      </w:r>
      <w:r w:rsidR="008F575D">
        <w:rPr>
          <w:rFonts w:ascii="Arial" w:hAnsi="Arial" w:cs="Arial"/>
        </w:rPr>
        <w:t>)</w:t>
      </w:r>
      <w:r>
        <w:rPr>
          <w:rFonts w:ascii="Arial" w:hAnsi="Arial" w:cs="Arial"/>
        </w:rPr>
        <w:t xml:space="preserve"> 1982, Lijphart 1999) much of this has been about issues such as the prevalence of single party or multi-party coalitions, and general discussions about modes of decision-making in particular countries or agencies in countries. </w:t>
      </w:r>
      <w:r w:rsidR="008F575D">
        <w:rPr>
          <w:rFonts w:ascii="Arial" w:hAnsi="Arial" w:cs="Arial"/>
        </w:rPr>
        <w:t>In fact little work has been done to directly compare decision-making in a particular policy zone across countries</w:t>
      </w:r>
      <w:r w:rsidR="00F71C10">
        <w:rPr>
          <w:rFonts w:ascii="Arial" w:hAnsi="Arial" w:cs="Arial"/>
        </w:rPr>
        <w:t xml:space="preserve"> using specific examples of law making and local implementation</w:t>
      </w:r>
      <w:r w:rsidR="008F575D">
        <w:rPr>
          <w:rFonts w:ascii="Arial" w:hAnsi="Arial" w:cs="Arial"/>
        </w:rPr>
        <w:t xml:space="preserve"> – that is as opposed to comparison of generalised national traditions</w:t>
      </w:r>
      <w:r w:rsidR="00692BEF">
        <w:rPr>
          <w:rFonts w:ascii="Arial" w:hAnsi="Arial" w:cs="Arial"/>
        </w:rPr>
        <w:t xml:space="preserve"> (eg Atkinson and Coleman 1989)</w:t>
      </w:r>
      <w:r w:rsidR="00EF437B">
        <w:rPr>
          <w:rFonts w:ascii="Arial" w:hAnsi="Arial" w:cs="Arial"/>
        </w:rPr>
        <w:t xml:space="preserve"> or </w:t>
      </w:r>
      <w:r w:rsidR="008F575D">
        <w:rPr>
          <w:rFonts w:ascii="Arial" w:hAnsi="Arial" w:cs="Arial"/>
        </w:rPr>
        <w:t xml:space="preserve">. </w:t>
      </w:r>
      <w:r w:rsidR="00EF437B">
        <w:rPr>
          <w:rFonts w:ascii="Arial" w:hAnsi="Arial" w:cs="Arial"/>
        </w:rPr>
        <w:t xml:space="preserve">general characteristics of power relations within and between the policy networks (Kriesi et al </w:t>
      </w:r>
      <w:r w:rsidR="008F575D">
        <w:rPr>
          <w:rFonts w:ascii="Arial" w:hAnsi="Arial" w:cs="Arial"/>
        </w:rPr>
        <w:t>2006)</w:t>
      </w:r>
      <w:r w:rsidR="00EF437B">
        <w:rPr>
          <w:rFonts w:ascii="Arial" w:hAnsi="Arial" w:cs="Arial"/>
        </w:rPr>
        <w:t xml:space="preserve">. </w:t>
      </w:r>
      <w:r w:rsidR="00EF6BED">
        <w:rPr>
          <w:rFonts w:ascii="Arial" w:hAnsi="Arial" w:cs="Arial"/>
        </w:rPr>
        <w:t>Cairney has compar</w:t>
      </w:r>
      <w:r w:rsidR="00A03DB3">
        <w:rPr>
          <w:rFonts w:ascii="Arial" w:hAnsi="Arial" w:cs="Arial"/>
        </w:rPr>
        <w:t>ed</w:t>
      </w:r>
      <w:r w:rsidR="00EF6BED">
        <w:rPr>
          <w:rFonts w:ascii="Arial" w:hAnsi="Arial" w:cs="Arial"/>
        </w:rPr>
        <w:t xml:space="preserve"> policies </w:t>
      </w:r>
      <w:r w:rsidR="00A03DB3">
        <w:rPr>
          <w:rFonts w:ascii="Arial" w:hAnsi="Arial" w:cs="Arial"/>
        </w:rPr>
        <w:t xml:space="preserve">between Westminster and Scottish Government (Cairney 2009, 2011a, 2011b), </w:t>
      </w:r>
      <w:r w:rsidR="00EF6BED">
        <w:rPr>
          <w:rFonts w:ascii="Arial" w:hAnsi="Arial" w:cs="Arial"/>
        </w:rPr>
        <w:t>but this is still a comparison within the one country.</w:t>
      </w:r>
    </w:p>
    <w:p w:rsidR="00B764D9" w:rsidRDefault="00B764D9" w:rsidP="005158B5">
      <w:pPr>
        <w:autoSpaceDE w:val="0"/>
        <w:autoSpaceDN w:val="0"/>
        <w:adjustRightInd w:val="0"/>
        <w:spacing w:after="0" w:line="480" w:lineRule="auto"/>
        <w:jc w:val="both"/>
        <w:rPr>
          <w:rFonts w:ascii="Arial" w:hAnsi="Arial" w:cs="Arial"/>
        </w:rPr>
      </w:pPr>
    </w:p>
    <w:p w:rsidR="00DC0C8A" w:rsidRDefault="001014CD" w:rsidP="005158B5">
      <w:pPr>
        <w:autoSpaceDE w:val="0"/>
        <w:autoSpaceDN w:val="0"/>
        <w:adjustRightInd w:val="0"/>
        <w:spacing w:after="0" w:line="480" w:lineRule="auto"/>
        <w:jc w:val="both"/>
        <w:rPr>
          <w:rFonts w:ascii="Arial" w:hAnsi="Arial" w:cs="Arial"/>
        </w:rPr>
      </w:pPr>
      <w:r>
        <w:rPr>
          <w:rFonts w:ascii="Arial" w:hAnsi="Arial" w:cs="Arial"/>
        </w:rPr>
        <w:t xml:space="preserve">Yet </w:t>
      </w:r>
      <w:r w:rsidR="00BE0055">
        <w:rPr>
          <w:rFonts w:ascii="Arial" w:hAnsi="Arial" w:cs="Arial"/>
        </w:rPr>
        <w:t xml:space="preserve">if a full discussion of </w:t>
      </w:r>
      <w:r>
        <w:rPr>
          <w:rFonts w:ascii="Arial" w:hAnsi="Arial" w:cs="Arial"/>
        </w:rPr>
        <w:t xml:space="preserve"> differences in policy styles </w:t>
      </w:r>
      <w:r w:rsidR="00BE0055">
        <w:rPr>
          <w:rFonts w:ascii="Arial" w:hAnsi="Arial" w:cs="Arial"/>
        </w:rPr>
        <w:t xml:space="preserve">is to be done, or at least one that can evaluate differences between policy styles in different countries, it is important to </w:t>
      </w:r>
      <w:r w:rsidR="004B056F">
        <w:rPr>
          <w:rFonts w:ascii="Arial" w:hAnsi="Arial" w:cs="Arial"/>
        </w:rPr>
        <w:t>undertake comparative study of c</w:t>
      </w:r>
      <w:r w:rsidR="00A03DB3">
        <w:rPr>
          <w:rFonts w:ascii="Arial" w:hAnsi="Arial" w:cs="Arial"/>
        </w:rPr>
        <w:t xml:space="preserve">onsultations </w:t>
      </w:r>
      <w:r w:rsidR="004B056F">
        <w:rPr>
          <w:rFonts w:ascii="Arial" w:hAnsi="Arial" w:cs="Arial"/>
        </w:rPr>
        <w:t xml:space="preserve">in particular policy zones which involve analysis of </w:t>
      </w:r>
      <w:r w:rsidR="00A03DB3">
        <w:rPr>
          <w:rFonts w:ascii="Arial" w:hAnsi="Arial" w:cs="Arial"/>
        </w:rPr>
        <w:t>specific sets of laws and patterns of local implementation</w:t>
      </w:r>
      <w:r w:rsidR="00BE0055">
        <w:rPr>
          <w:rFonts w:ascii="Arial" w:hAnsi="Arial" w:cs="Arial"/>
        </w:rPr>
        <w:t>.</w:t>
      </w:r>
      <w:r w:rsidR="00717B68">
        <w:rPr>
          <w:rFonts w:ascii="Arial" w:hAnsi="Arial" w:cs="Arial"/>
        </w:rPr>
        <w:t xml:space="preserve"> </w:t>
      </w:r>
      <w:r w:rsidR="00EA1F6F">
        <w:rPr>
          <w:rFonts w:ascii="Arial" w:hAnsi="Arial" w:cs="Arial"/>
        </w:rPr>
        <w:t>Then we can trace and compare policy processes effectively.</w:t>
      </w:r>
      <w:r w:rsidR="0072026F">
        <w:rPr>
          <w:rFonts w:ascii="Arial" w:hAnsi="Arial" w:cs="Arial"/>
        </w:rPr>
        <w:t xml:space="preserve"> That is what we do here. </w:t>
      </w:r>
      <w:r w:rsidR="00EA1F6F">
        <w:rPr>
          <w:rFonts w:ascii="Arial" w:hAnsi="Arial" w:cs="Arial"/>
        </w:rPr>
        <w:t xml:space="preserve"> </w:t>
      </w:r>
      <w:r w:rsidR="00410535">
        <w:rPr>
          <w:rFonts w:ascii="Arial" w:hAnsi="Arial" w:cs="Arial"/>
        </w:rPr>
        <w:t xml:space="preserve"> </w:t>
      </w:r>
      <w:r w:rsidR="00300A34">
        <w:rPr>
          <w:rFonts w:ascii="Arial" w:hAnsi="Arial" w:cs="Arial"/>
        </w:rPr>
        <w:t>T</w:t>
      </w:r>
      <w:r w:rsidR="00410535">
        <w:rPr>
          <w:rFonts w:ascii="Arial" w:hAnsi="Arial" w:cs="Arial"/>
        </w:rPr>
        <w:t xml:space="preserve">he key research question </w:t>
      </w:r>
      <w:r w:rsidR="00B05757">
        <w:rPr>
          <w:rFonts w:ascii="Arial" w:hAnsi="Arial" w:cs="Arial"/>
        </w:rPr>
        <w:t xml:space="preserve">we ask is if there </w:t>
      </w:r>
      <w:r w:rsidR="00774734">
        <w:rPr>
          <w:rFonts w:ascii="Arial" w:hAnsi="Arial" w:cs="Arial"/>
        </w:rPr>
        <w:t xml:space="preserve">are </w:t>
      </w:r>
      <w:r w:rsidR="00410535">
        <w:rPr>
          <w:rFonts w:ascii="Arial" w:hAnsi="Arial" w:cs="Arial"/>
        </w:rPr>
        <w:t xml:space="preserve"> differences </w:t>
      </w:r>
      <w:r w:rsidR="00011925">
        <w:rPr>
          <w:rFonts w:ascii="Arial" w:hAnsi="Arial" w:cs="Arial"/>
        </w:rPr>
        <w:t xml:space="preserve"> </w:t>
      </w:r>
      <w:r w:rsidR="00410535">
        <w:rPr>
          <w:rFonts w:ascii="Arial" w:hAnsi="Arial" w:cs="Arial"/>
        </w:rPr>
        <w:t>in policy style</w:t>
      </w:r>
      <w:r w:rsidR="00B05757">
        <w:rPr>
          <w:rFonts w:ascii="Arial" w:hAnsi="Arial" w:cs="Arial"/>
        </w:rPr>
        <w:t>s</w:t>
      </w:r>
      <w:r w:rsidR="00410535">
        <w:rPr>
          <w:rFonts w:ascii="Arial" w:hAnsi="Arial" w:cs="Arial"/>
        </w:rPr>
        <w:t xml:space="preserve"> in this case study</w:t>
      </w:r>
      <w:r w:rsidR="00774734">
        <w:rPr>
          <w:rFonts w:ascii="Arial" w:hAnsi="Arial" w:cs="Arial"/>
        </w:rPr>
        <w:t xml:space="preserve"> (of renewable energy in Denmark and the UK) and how these differences manifest themselves</w:t>
      </w:r>
      <w:r w:rsidR="00410535">
        <w:rPr>
          <w:rFonts w:ascii="Arial" w:hAnsi="Arial" w:cs="Arial"/>
        </w:rPr>
        <w:t xml:space="preserve">. </w:t>
      </w:r>
      <w:r w:rsidR="00DC0C8A">
        <w:rPr>
          <w:rFonts w:ascii="Arial" w:hAnsi="Arial" w:cs="Arial"/>
        </w:rPr>
        <w:t xml:space="preserve">A contrast between the UK and Denmark has been selected since these two countries appear to be candidates for differing policy styles, with Denmark </w:t>
      </w:r>
      <w:r w:rsidR="00E978FC">
        <w:rPr>
          <w:rFonts w:ascii="Arial" w:hAnsi="Arial" w:cs="Arial"/>
        </w:rPr>
        <w:t xml:space="preserve">being identified as </w:t>
      </w:r>
      <w:r w:rsidR="00DC0C8A">
        <w:rPr>
          <w:rFonts w:ascii="Arial" w:hAnsi="Arial" w:cs="Arial"/>
        </w:rPr>
        <w:t xml:space="preserve">having a </w:t>
      </w:r>
      <w:r w:rsidR="008C3DF1">
        <w:rPr>
          <w:rFonts w:ascii="Arial" w:hAnsi="Arial" w:cs="Arial"/>
        </w:rPr>
        <w:t>‘</w:t>
      </w:r>
      <w:r w:rsidR="00DC0C8A">
        <w:rPr>
          <w:rFonts w:ascii="Arial" w:hAnsi="Arial" w:cs="Arial"/>
        </w:rPr>
        <w:t>consensual</w:t>
      </w:r>
      <w:r w:rsidR="008C3DF1">
        <w:rPr>
          <w:rFonts w:ascii="Arial" w:hAnsi="Arial" w:cs="Arial"/>
        </w:rPr>
        <w:t>’</w:t>
      </w:r>
      <w:r w:rsidR="00DC0C8A">
        <w:rPr>
          <w:rFonts w:ascii="Arial" w:hAnsi="Arial" w:cs="Arial"/>
        </w:rPr>
        <w:t xml:space="preserve"> policy style </w:t>
      </w:r>
      <w:r w:rsidR="0074299F">
        <w:rPr>
          <w:rFonts w:ascii="Arial" w:hAnsi="Arial" w:cs="Arial"/>
        </w:rPr>
        <w:t>(</w:t>
      </w:r>
      <w:r w:rsidR="00DC0C8A" w:rsidRPr="00CA7074">
        <w:rPr>
          <w:rFonts w:ascii="Arial" w:hAnsi="Arial" w:cs="Arial"/>
        </w:rPr>
        <w:t>Green-Pedersen and  Thomsen</w:t>
      </w:r>
      <w:r w:rsidR="0074299F">
        <w:rPr>
          <w:rFonts w:ascii="Arial" w:hAnsi="Arial" w:cs="Arial"/>
        </w:rPr>
        <w:t xml:space="preserve"> 2005)</w:t>
      </w:r>
      <w:r w:rsidR="00DC0C8A">
        <w:rPr>
          <w:rFonts w:ascii="Arial" w:hAnsi="Arial" w:cs="Arial"/>
        </w:rPr>
        <w:t>, whilst the UK is traditionally seen as involving an ‘adversarial’ policy style</w:t>
      </w:r>
      <w:r w:rsidR="0074299F">
        <w:rPr>
          <w:rFonts w:ascii="Arial" w:hAnsi="Arial" w:cs="Arial"/>
        </w:rPr>
        <w:t xml:space="preserve"> (Flinders 2005)</w:t>
      </w:r>
      <w:r w:rsidR="00DC0C8A">
        <w:rPr>
          <w:rFonts w:ascii="Arial" w:hAnsi="Arial" w:cs="Arial"/>
        </w:rPr>
        <w:t xml:space="preserve">. </w:t>
      </w:r>
      <w:r w:rsidR="003A6A37">
        <w:rPr>
          <w:rFonts w:ascii="Arial" w:hAnsi="Arial" w:cs="Arial"/>
        </w:rPr>
        <w:t xml:space="preserve">In light of this, our concern here is to examine </w:t>
      </w:r>
      <w:r w:rsidR="00E978FC">
        <w:rPr>
          <w:rFonts w:ascii="Arial" w:hAnsi="Arial" w:cs="Arial"/>
        </w:rPr>
        <w:t>the extent to which such a distinction manifests itself in practice</w:t>
      </w:r>
      <w:r w:rsidR="003377EF">
        <w:rPr>
          <w:rFonts w:ascii="Arial" w:hAnsi="Arial" w:cs="Arial"/>
        </w:rPr>
        <w:t xml:space="preserve"> in the renewable energy sector</w:t>
      </w:r>
      <w:r w:rsidR="00E978FC">
        <w:rPr>
          <w:rFonts w:ascii="Arial" w:hAnsi="Arial" w:cs="Arial"/>
        </w:rPr>
        <w:t>, and second, what significance this may have in terms of generating different outcomes.</w:t>
      </w:r>
    </w:p>
    <w:p w:rsidR="008F3C70" w:rsidRDefault="008F3C70" w:rsidP="005158B5">
      <w:pPr>
        <w:autoSpaceDE w:val="0"/>
        <w:autoSpaceDN w:val="0"/>
        <w:adjustRightInd w:val="0"/>
        <w:spacing w:after="0" w:line="480" w:lineRule="auto"/>
        <w:jc w:val="both"/>
        <w:rPr>
          <w:rFonts w:ascii="Arial" w:hAnsi="Arial" w:cs="Arial"/>
        </w:rPr>
      </w:pPr>
    </w:p>
    <w:p w:rsidR="008F3C70" w:rsidRDefault="008F3C70" w:rsidP="005158B5">
      <w:pPr>
        <w:autoSpaceDE w:val="0"/>
        <w:autoSpaceDN w:val="0"/>
        <w:adjustRightInd w:val="0"/>
        <w:spacing w:after="0" w:line="480" w:lineRule="auto"/>
        <w:jc w:val="both"/>
        <w:rPr>
          <w:rFonts w:ascii="Arial" w:hAnsi="Arial" w:cs="Arial"/>
        </w:rPr>
      </w:pPr>
      <w:r w:rsidRPr="000E55D1">
        <w:rPr>
          <w:rFonts w:ascii="Arial" w:hAnsi="Arial" w:cs="Arial"/>
        </w:rPr>
        <w:t xml:space="preserve">Renewable energy is chosen partly because it is a relatively new area of policy, and thus, arguably, its outcomes </w:t>
      </w:r>
      <w:r w:rsidR="003A6A37">
        <w:rPr>
          <w:rFonts w:ascii="Arial" w:hAnsi="Arial" w:cs="Arial"/>
        </w:rPr>
        <w:t xml:space="preserve">are </w:t>
      </w:r>
      <w:r w:rsidRPr="000E55D1">
        <w:rPr>
          <w:rFonts w:ascii="Arial" w:hAnsi="Arial" w:cs="Arial"/>
        </w:rPr>
        <w:t>reliant on less established t</w:t>
      </w:r>
      <w:r w:rsidR="003A6A37">
        <w:rPr>
          <w:rFonts w:ascii="Arial" w:hAnsi="Arial" w:cs="Arial"/>
        </w:rPr>
        <w:t>raditions than some other policy areas</w:t>
      </w:r>
      <w:r>
        <w:rPr>
          <w:rFonts w:ascii="Arial" w:hAnsi="Arial" w:cs="Arial"/>
        </w:rPr>
        <w:t xml:space="preserve"> and also because it is </w:t>
      </w:r>
      <w:r w:rsidRPr="000E55D1">
        <w:rPr>
          <w:rFonts w:ascii="Arial" w:hAnsi="Arial" w:cs="Arial"/>
        </w:rPr>
        <w:t>a cross-cutting issue, involving more than one area of policy.</w:t>
      </w:r>
      <w:r>
        <w:rPr>
          <w:rFonts w:ascii="Arial" w:hAnsi="Arial" w:cs="Arial"/>
        </w:rPr>
        <w:t xml:space="preserve"> Here</w:t>
      </w:r>
      <w:r w:rsidR="003A6A37">
        <w:rPr>
          <w:rFonts w:ascii="Arial" w:hAnsi="Arial" w:cs="Arial"/>
        </w:rPr>
        <w:t>,</w:t>
      </w:r>
      <w:r w:rsidR="001F3D14">
        <w:rPr>
          <w:rFonts w:ascii="Arial" w:hAnsi="Arial" w:cs="Arial"/>
        </w:rPr>
        <w:t xml:space="preserve"> </w:t>
      </w:r>
      <w:r w:rsidR="00094D7E">
        <w:rPr>
          <w:rFonts w:ascii="Arial" w:hAnsi="Arial" w:cs="Arial"/>
        </w:rPr>
        <w:t xml:space="preserve">our principal focus is </w:t>
      </w:r>
      <w:r w:rsidR="003A6A37">
        <w:rPr>
          <w:rFonts w:ascii="Arial" w:hAnsi="Arial" w:cs="Arial"/>
        </w:rPr>
        <w:t xml:space="preserve">on </w:t>
      </w:r>
      <w:r w:rsidR="00094D7E">
        <w:rPr>
          <w:rFonts w:ascii="Arial" w:hAnsi="Arial" w:cs="Arial"/>
        </w:rPr>
        <w:t xml:space="preserve">explaining the significance of the difference in policy style rather than studying how the differences in policy outcome </w:t>
      </w:r>
      <w:r w:rsidR="004246D8">
        <w:rPr>
          <w:rFonts w:ascii="Arial" w:hAnsi="Arial" w:cs="Arial"/>
        </w:rPr>
        <w:t xml:space="preserve">(renewable energy deployment) </w:t>
      </w:r>
      <w:r w:rsidR="00094D7E">
        <w:rPr>
          <w:rFonts w:ascii="Arial" w:hAnsi="Arial" w:cs="Arial"/>
        </w:rPr>
        <w:t xml:space="preserve">emerge themselves. </w:t>
      </w:r>
      <w:r>
        <w:rPr>
          <w:rFonts w:ascii="Arial" w:hAnsi="Arial" w:cs="Arial"/>
        </w:rPr>
        <w:t xml:space="preserve">In looking at consultation, the point at which a decision is made is very </w:t>
      </w:r>
      <w:r w:rsidR="003A6A37">
        <w:rPr>
          <w:rFonts w:ascii="Arial" w:hAnsi="Arial" w:cs="Arial"/>
        </w:rPr>
        <w:t>important (for eg by</w:t>
      </w:r>
      <w:r>
        <w:rPr>
          <w:rFonts w:ascii="Arial" w:hAnsi="Arial" w:cs="Arial"/>
        </w:rPr>
        <w:t xml:space="preserve"> central or local government) as this structures the nature and effect of any consultation</w:t>
      </w:r>
      <w:r w:rsidR="004529DB">
        <w:rPr>
          <w:rFonts w:ascii="Arial" w:hAnsi="Arial" w:cs="Arial"/>
        </w:rPr>
        <w:t xml:space="preserve">, so decision-making at both central and local levels is </w:t>
      </w:r>
      <w:r w:rsidR="002E7B8B">
        <w:rPr>
          <w:rFonts w:ascii="Arial" w:hAnsi="Arial" w:cs="Arial"/>
        </w:rPr>
        <w:t>examined</w:t>
      </w:r>
      <w:r w:rsidR="004529DB">
        <w:rPr>
          <w:rFonts w:ascii="Arial" w:hAnsi="Arial" w:cs="Arial"/>
        </w:rPr>
        <w:t>.</w:t>
      </w:r>
    </w:p>
    <w:p w:rsidR="00DC0C8A" w:rsidRDefault="00DC0C8A" w:rsidP="005158B5">
      <w:pPr>
        <w:autoSpaceDE w:val="0"/>
        <w:autoSpaceDN w:val="0"/>
        <w:adjustRightInd w:val="0"/>
        <w:spacing w:after="0" w:line="480" w:lineRule="auto"/>
        <w:jc w:val="both"/>
        <w:rPr>
          <w:rFonts w:ascii="Arial" w:hAnsi="Arial" w:cs="Arial"/>
        </w:rPr>
      </w:pPr>
    </w:p>
    <w:p w:rsidR="00DC0C8A" w:rsidRPr="0033582C" w:rsidRDefault="00DC0C8A" w:rsidP="005158B5">
      <w:pPr>
        <w:autoSpaceDE w:val="0"/>
        <w:autoSpaceDN w:val="0"/>
        <w:adjustRightInd w:val="0"/>
        <w:spacing w:after="0" w:line="480" w:lineRule="auto"/>
        <w:jc w:val="both"/>
        <w:rPr>
          <w:rFonts w:ascii="Arial" w:hAnsi="Arial" w:cs="Arial"/>
        </w:rPr>
      </w:pPr>
      <w:r w:rsidRPr="0033582C">
        <w:rPr>
          <w:rFonts w:ascii="Arial" w:hAnsi="Arial" w:cs="Arial"/>
        </w:rPr>
        <w:t>The researc</w:t>
      </w:r>
      <w:r w:rsidR="002E7B8B">
        <w:rPr>
          <w:rFonts w:ascii="Arial" w:hAnsi="Arial" w:cs="Arial"/>
        </w:rPr>
        <w:t>h for this paper has been derived</w:t>
      </w:r>
      <w:r w:rsidRPr="0033582C">
        <w:rPr>
          <w:rFonts w:ascii="Arial" w:hAnsi="Arial" w:cs="Arial"/>
        </w:rPr>
        <w:t xml:space="preserve"> from a combination of research interviews, </w:t>
      </w:r>
      <w:r w:rsidR="002E7B8B">
        <w:rPr>
          <w:rFonts w:ascii="Arial" w:hAnsi="Arial" w:cs="Arial"/>
        </w:rPr>
        <w:t xml:space="preserve">the </w:t>
      </w:r>
      <w:r w:rsidRPr="0033582C">
        <w:rPr>
          <w:rFonts w:ascii="Arial" w:hAnsi="Arial" w:cs="Arial"/>
        </w:rPr>
        <w:t>inspection of government documents and statistics and</w:t>
      </w:r>
      <w:r w:rsidR="002E7B8B">
        <w:rPr>
          <w:rFonts w:ascii="Arial" w:hAnsi="Arial" w:cs="Arial"/>
        </w:rPr>
        <w:t xml:space="preserve">,the </w:t>
      </w:r>
      <w:r w:rsidRPr="0033582C">
        <w:rPr>
          <w:rFonts w:ascii="Arial" w:hAnsi="Arial" w:cs="Arial"/>
        </w:rPr>
        <w:t>study of reports and statements issued by trade associations, companies and NGOs</w:t>
      </w:r>
      <w:r w:rsidR="002E7B8B">
        <w:rPr>
          <w:rFonts w:ascii="Arial" w:hAnsi="Arial" w:cs="Arial"/>
        </w:rPr>
        <w:t>,</w:t>
      </w:r>
      <w:r>
        <w:rPr>
          <w:rFonts w:ascii="Arial" w:hAnsi="Arial" w:cs="Arial"/>
        </w:rPr>
        <w:t xml:space="preserve"> as well as statements made in news media</w:t>
      </w:r>
      <w:r w:rsidRPr="0033582C">
        <w:rPr>
          <w:rFonts w:ascii="Arial" w:hAnsi="Arial" w:cs="Arial"/>
        </w:rPr>
        <w:t xml:space="preserve">. Existing secondary analyses were also inspected. The interviews themselves were selected in order to fill in details of consultation mechanisms in both countries not covered by other sources. These (nine) interviews included representatives of leading renewable energy interests, energy trade associations in the UK and Denmark, energy NGO activists and also climate policy advisors to the two governments. </w:t>
      </w:r>
    </w:p>
    <w:p w:rsidR="00DC0C8A" w:rsidRPr="00CA7074" w:rsidRDefault="00DC0C8A" w:rsidP="005158B5">
      <w:pPr>
        <w:autoSpaceDE w:val="0"/>
        <w:autoSpaceDN w:val="0"/>
        <w:adjustRightInd w:val="0"/>
        <w:spacing w:after="0" w:line="480" w:lineRule="auto"/>
        <w:jc w:val="both"/>
        <w:rPr>
          <w:rFonts w:ascii="Arial" w:hAnsi="Arial" w:cs="Arial"/>
        </w:rPr>
      </w:pPr>
    </w:p>
    <w:p w:rsidR="00DC0C8A" w:rsidRDefault="002E7B8B" w:rsidP="005158B5">
      <w:pPr>
        <w:autoSpaceDE w:val="0"/>
        <w:autoSpaceDN w:val="0"/>
        <w:adjustRightInd w:val="0"/>
        <w:spacing w:after="0" w:line="480" w:lineRule="auto"/>
        <w:jc w:val="both"/>
        <w:rPr>
          <w:rFonts w:ascii="Arial" w:hAnsi="Arial" w:cs="Arial"/>
        </w:rPr>
      </w:pPr>
      <w:r>
        <w:rPr>
          <w:rFonts w:ascii="Arial" w:hAnsi="Arial" w:cs="Arial"/>
        </w:rPr>
        <w:t xml:space="preserve">To begin with below, we </w:t>
      </w:r>
      <w:r w:rsidR="00773394">
        <w:rPr>
          <w:rFonts w:ascii="Arial" w:hAnsi="Arial" w:cs="Arial"/>
        </w:rPr>
        <w:t xml:space="preserve">contrast some theory </w:t>
      </w:r>
      <w:r w:rsidR="00DC0C8A">
        <w:rPr>
          <w:rFonts w:ascii="Arial" w:hAnsi="Arial" w:cs="Arial"/>
        </w:rPr>
        <w:t xml:space="preserve">about differences in policy styles. </w:t>
      </w:r>
      <w:r>
        <w:rPr>
          <w:rFonts w:ascii="Arial" w:hAnsi="Arial" w:cs="Arial"/>
        </w:rPr>
        <w:t>Then we proceed to</w:t>
      </w:r>
      <w:r w:rsidR="00DC0C8A" w:rsidRPr="00CA7074">
        <w:rPr>
          <w:rFonts w:ascii="Arial" w:hAnsi="Arial" w:cs="Arial"/>
        </w:rPr>
        <w:t xml:space="preserve"> a comparison of consultation over renewable energy polic</w:t>
      </w:r>
      <w:r>
        <w:rPr>
          <w:rFonts w:ascii="Arial" w:hAnsi="Arial" w:cs="Arial"/>
        </w:rPr>
        <w:t>y in Denmark and the UK before</w:t>
      </w:r>
      <w:r w:rsidR="00DC0C8A" w:rsidRPr="00CA7074">
        <w:rPr>
          <w:rFonts w:ascii="Arial" w:hAnsi="Arial" w:cs="Arial"/>
        </w:rPr>
        <w:t xml:space="preserve"> discuss</w:t>
      </w:r>
      <w:r>
        <w:rPr>
          <w:rFonts w:ascii="Arial" w:hAnsi="Arial" w:cs="Arial"/>
        </w:rPr>
        <w:t>ing</w:t>
      </w:r>
      <w:r w:rsidR="00DC0C8A" w:rsidRPr="00CA7074">
        <w:rPr>
          <w:rFonts w:ascii="Arial" w:hAnsi="Arial" w:cs="Arial"/>
        </w:rPr>
        <w:t xml:space="preserve"> its implications for the debate that has just been outlined.</w:t>
      </w:r>
      <w:r w:rsidR="001F3D14">
        <w:rPr>
          <w:rFonts w:ascii="Arial" w:hAnsi="Arial" w:cs="Arial"/>
        </w:rPr>
        <w:t xml:space="preserve"> </w:t>
      </w:r>
      <w:r w:rsidR="00DC0C8A" w:rsidRPr="00CA7074">
        <w:rPr>
          <w:rFonts w:ascii="Arial" w:hAnsi="Arial" w:cs="Arial"/>
        </w:rPr>
        <w:t>In discussing renewable energy we focus more specifically on wind power. This is because wind power constitutes the bulk of new renewable energy developments in both countries, and narrows down the area of detail that we wish to compare.</w:t>
      </w:r>
      <w:r w:rsidR="0041594F">
        <w:rPr>
          <w:rFonts w:ascii="Arial" w:hAnsi="Arial" w:cs="Arial"/>
        </w:rPr>
        <w:t xml:space="preserve"> We find that there are some notable differences in policy style between th</w:t>
      </w:r>
      <w:r w:rsidR="00A44138">
        <w:rPr>
          <w:rFonts w:ascii="Arial" w:hAnsi="Arial" w:cs="Arial"/>
        </w:rPr>
        <w:t>ese</w:t>
      </w:r>
      <w:r w:rsidR="0041594F">
        <w:rPr>
          <w:rFonts w:ascii="Arial" w:hAnsi="Arial" w:cs="Arial"/>
        </w:rPr>
        <w:t xml:space="preserve"> countries. In Denmark there has been a (mainly successful) effort to obtain policy consensus through discussions between interest groups and the main parties (government and opposition) before formal proposals are laid before Parliament</w:t>
      </w:r>
      <w:r w:rsidR="00A44138">
        <w:rPr>
          <w:rFonts w:ascii="Arial" w:hAnsi="Arial" w:cs="Arial"/>
        </w:rPr>
        <w:t xml:space="preserve">. In </w:t>
      </w:r>
      <w:r w:rsidR="0041594F">
        <w:rPr>
          <w:rFonts w:ascii="Arial" w:hAnsi="Arial" w:cs="Arial"/>
        </w:rPr>
        <w:t>the U</w:t>
      </w:r>
      <w:r w:rsidR="00A44138">
        <w:rPr>
          <w:rFonts w:ascii="Arial" w:hAnsi="Arial" w:cs="Arial"/>
        </w:rPr>
        <w:t>K</w:t>
      </w:r>
      <w:r w:rsidR="0041594F">
        <w:rPr>
          <w:rFonts w:ascii="Arial" w:hAnsi="Arial" w:cs="Arial"/>
        </w:rPr>
        <w:t xml:space="preserve"> consultation occurs after proposals are made by the Government without attempts to reach consensus first. In addition the system of </w:t>
      </w:r>
      <w:r w:rsidR="00A44138">
        <w:rPr>
          <w:rFonts w:ascii="Arial" w:hAnsi="Arial" w:cs="Arial"/>
        </w:rPr>
        <w:t>c</w:t>
      </w:r>
      <w:r w:rsidR="0041594F">
        <w:rPr>
          <w:rFonts w:ascii="Arial" w:hAnsi="Arial" w:cs="Arial"/>
        </w:rPr>
        <w:t>onsultation on planning matters is rather more centralised and ‘to</w:t>
      </w:r>
      <w:r w:rsidR="00A44138">
        <w:rPr>
          <w:rFonts w:ascii="Arial" w:hAnsi="Arial" w:cs="Arial"/>
        </w:rPr>
        <w:t>p</w:t>
      </w:r>
      <w:r w:rsidR="0041594F">
        <w:rPr>
          <w:rFonts w:ascii="Arial" w:hAnsi="Arial" w:cs="Arial"/>
        </w:rPr>
        <w:t>-down’ in the U</w:t>
      </w:r>
      <w:r w:rsidR="00A44138">
        <w:rPr>
          <w:rFonts w:ascii="Arial" w:hAnsi="Arial" w:cs="Arial"/>
        </w:rPr>
        <w:t>K</w:t>
      </w:r>
      <w:r w:rsidR="0041594F">
        <w:rPr>
          <w:rFonts w:ascii="Arial" w:hAnsi="Arial" w:cs="Arial"/>
        </w:rPr>
        <w:t xml:space="preserve"> compared to Denmark.</w:t>
      </w:r>
    </w:p>
    <w:p w:rsidR="008F3C70" w:rsidRDefault="008F3C70" w:rsidP="005158B5">
      <w:pPr>
        <w:autoSpaceDE w:val="0"/>
        <w:autoSpaceDN w:val="0"/>
        <w:adjustRightInd w:val="0"/>
        <w:spacing w:after="0" w:line="480" w:lineRule="auto"/>
        <w:jc w:val="both"/>
        <w:rPr>
          <w:rFonts w:ascii="Arial" w:hAnsi="Arial" w:cs="Arial"/>
        </w:rPr>
      </w:pPr>
    </w:p>
    <w:p w:rsidR="008F3C70" w:rsidRPr="008F3C70" w:rsidRDefault="008F3C70" w:rsidP="005158B5">
      <w:pPr>
        <w:autoSpaceDE w:val="0"/>
        <w:autoSpaceDN w:val="0"/>
        <w:adjustRightInd w:val="0"/>
        <w:spacing w:after="0" w:line="480" w:lineRule="auto"/>
        <w:jc w:val="both"/>
        <w:rPr>
          <w:rFonts w:ascii="Arial" w:hAnsi="Arial" w:cs="Arial"/>
          <w:b/>
        </w:rPr>
      </w:pPr>
      <w:r w:rsidRPr="008F3C70">
        <w:rPr>
          <w:rFonts w:ascii="Arial" w:hAnsi="Arial" w:cs="Arial"/>
          <w:b/>
        </w:rPr>
        <w:t>Dis</w:t>
      </w:r>
      <w:r>
        <w:rPr>
          <w:rFonts w:ascii="Arial" w:hAnsi="Arial" w:cs="Arial"/>
          <w:b/>
        </w:rPr>
        <w:t>tinctive Policy S</w:t>
      </w:r>
      <w:r w:rsidRPr="008F3C70">
        <w:rPr>
          <w:rFonts w:ascii="Arial" w:hAnsi="Arial" w:cs="Arial"/>
          <w:b/>
        </w:rPr>
        <w:t>tyles?</w:t>
      </w:r>
    </w:p>
    <w:p w:rsidR="00DC0C8A" w:rsidRDefault="00DC0C8A" w:rsidP="005158B5">
      <w:pPr>
        <w:autoSpaceDE w:val="0"/>
        <w:autoSpaceDN w:val="0"/>
        <w:adjustRightInd w:val="0"/>
        <w:spacing w:after="0" w:line="480" w:lineRule="auto"/>
        <w:jc w:val="both"/>
        <w:rPr>
          <w:rFonts w:ascii="Arial" w:hAnsi="Arial" w:cs="Arial"/>
        </w:rPr>
      </w:pPr>
    </w:p>
    <w:p w:rsidR="005F099D" w:rsidRDefault="00D5758C" w:rsidP="005158B5">
      <w:pPr>
        <w:autoSpaceDE w:val="0"/>
        <w:autoSpaceDN w:val="0"/>
        <w:adjustRightInd w:val="0"/>
        <w:spacing w:after="0" w:line="480" w:lineRule="auto"/>
        <w:jc w:val="both"/>
        <w:rPr>
          <w:rFonts w:ascii="Arial" w:hAnsi="Arial" w:cs="Arial"/>
        </w:rPr>
      </w:pPr>
      <w:r>
        <w:rPr>
          <w:rFonts w:ascii="Arial" w:hAnsi="Arial" w:cs="Arial"/>
        </w:rPr>
        <w:t>Some</w:t>
      </w:r>
      <w:r w:rsidR="00CC7822" w:rsidRPr="000E55D1">
        <w:rPr>
          <w:rFonts w:ascii="Arial" w:hAnsi="Arial" w:cs="Arial"/>
        </w:rPr>
        <w:t xml:space="preserve"> accounts </w:t>
      </w:r>
      <w:r w:rsidR="00C60460">
        <w:rPr>
          <w:rFonts w:ascii="Arial" w:hAnsi="Arial" w:cs="Arial"/>
        </w:rPr>
        <w:t>argue that there is a distinctiveness</w:t>
      </w:r>
      <w:r w:rsidR="001F3D14">
        <w:rPr>
          <w:rFonts w:ascii="Arial" w:hAnsi="Arial" w:cs="Arial"/>
        </w:rPr>
        <w:t xml:space="preserve"> </w:t>
      </w:r>
      <w:r w:rsidR="00CC7822" w:rsidRPr="000E55D1">
        <w:rPr>
          <w:rFonts w:ascii="Arial" w:hAnsi="Arial" w:cs="Arial"/>
        </w:rPr>
        <w:t xml:space="preserve">about British policymaking </w:t>
      </w:r>
      <w:r w:rsidR="00C60460">
        <w:rPr>
          <w:rFonts w:ascii="Arial" w:hAnsi="Arial" w:cs="Arial"/>
        </w:rPr>
        <w:t>compared to</w:t>
      </w:r>
      <w:r w:rsidR="00CC7822" w:rsidRPr="000E55D1">
        <w:rPr>
          <w:rFonts w:ascii="Arial" w:hAnsi="Arial" w:cs="Arial"/>
        </w:rPr>
        <w:t xml:space="preserve"> other states (Marsh 2008, 2012, Marsh et al 2003, and Flinders 2005</w:t>
      </w:r>
      <w:r w:rsidR="004E63E6" w:rsidRPr="000E55D1">
        <w:rPr>
          <w:rFonts w:ascii="Arial" w:hAnsi="Arial" w:cs="Arial"/>
        </w:rPr>
        <w:t>, Lundaberg 2013</w:t>
      </w:r>
      <w:r w:rsidR="00CC7822" w:rsidRPr="000E55D1">
        <w:rPr>
          <w:rFonts w:ascii="Arial" w:hAnsi="Arial" w:cs="Arial"/>
        </w:rPr>
        <w:t xml:space="preserve">). </w:t>
      </w:r>
      <w:r w:rsidR="00E978FC">
        <w:rPr>
          <w:rFonts w:ascii="Arial" w:hAnsi="Arial" w:cs="Arial"/>
        </w:rPr>
        <w:t>Such accounts tend to emphasise a tendency towards ‘adversarial’ decision makin</w:t>
      </w:r>
      <w:r w:rsidR="002E7B8B">
        <w:rPr>
          <w:rFonts w:ascii="Arial" w:hAnsi="Arial" w:cs="Arial"/>
        </w:rPr>
        <w:t xml:space="preserve">g. Some analyses discuss how this process </w:t>
      </w:r>
      <w:r w:rsidR="00E978FC">
        <w:rPr>
          <w:rFonts w:ascii="Arial" w:hAnsi="Arial" w:cs="Arial"/>
        </w:rPr>
        <w:t>occur</w:t>
      </w:r>
      <w:r w:rsidR="002E7B8B">
        <w:rPr>
          <w:rFonts w:ascii="Arial" w:hAnsi="Arial" w:cs="Arial"/>
        </w:rPr>
        <w:t>s</w:t>
      </w:r>
      <w:r w:rsidR="00E978FC">
        <w:rPr>
          <w:rFonts w:ascii="Arial" w:hAnsi="Arial" w:cs="Arial"/>
        </w:rPr>
        <w:t xml:space="preserve"> in the context of ‘asymmetrical’ power relations in the UK</w:t>
      </w:r>
      <w:r w:rsidR="00FE151C">
        <w:rPr>
          <w:rFonts w:ascii="Arial" w:hAnsi="Arial" w:cs="Arial"/>
        </w:rPr>
        <w:t>,</w:t>
      </w:r>
      <w:r w:rsidR="002E7B8B">
        <w:rPr>
          <w:rFonts w:ascii="Arial" w:hAnsi="Arial" w:cs="Arial"/>
        </w:rPr>
        <w:t xml:space="preserve"> thus emphasising</w:t>
      </w:r>
      <w:r w:rsidR="00577FB1">
        <w:rPr>
          <w:rFonts w:ascii="Arial" w:hAnsi="Arial" w:cs="Arial"/>
        </w:rPr>
        <w:t xml:space="preserve"> </w:t>
      </w:r>
      <w:r w:rsidR="005F099D">
        <w:rPr>
          <w:rFonts w:ascii="Arial" w:hAnsi="Arial" w:cs="Arial"/>
        </w:rPr>
        <w:t>‘</w:t>
      </w:r>
      <w:r w:rsidR="001F3D14">
        <w:rPr>
          <w:rFonts w:ascii="Arial" w:hAnsi="Arial" w:cs="Arial"/>
        </w:rPr>
        <w:t xml:space="preserve"> </w:t>
      </w:r>
      <w:r w:rsidR="00E978FC" w:rsidRPr="00CA7074">
        <w:rPr>
          <w:rFonts w:ascii="Arial" w:hAnsi="Arial" w:cs="Arial"/>
        </w:rPr>
        <w:t>hierarchy, rather than networks</w:t>
      </w:r>
      <w:r w:rsidR="005F099D">
        <w:rPr>
          <w:rFonts w:ascii="Arial" w:hAnsi="Arial" w:cs="Arial"/>
        </w:rPr>
        <w:t>’ (Marsh 201</w:t>
      </w:r>
      <w:r w:rsidR="00577FB1">
        <w:rPr>
          <w:rFonts w:ascii="Arial" w:hAnsi="Arial" w:cs="Arial"/>
        </w:rPr>
        <w:t>0</w:t>
      </w:r>
      <w:r w:rsidR="005F099D">
        <w:rPr>
          <w:rFonts w:ascii="Arial" w:hAnsi="Arial" w:cs="Arial"/>
        </w:rPr>
        <w:t>, 4</w:t>
      </w:r>
      <w:r w:rsidR="00577FB1">
        <w:rPr>
          <w:rFonts w:ascii="Arial" w:hAnsi="Arial" w:cs="Arial"/>
        </w:rPr>
        <w:t>1</w:t>
      </w:r>
      <w:r w:rsidR="005F099D">
        <w:rPr>
          <w:rFonts w:ascii="Arial" w:hAnsi="Arial" w:cs="Arial"/>
        </w:rPr>
        <w:t xml:space="preserve">) and </w:t>
      </w:r>
      <w:r w:rsidR="00E978FC" w:rsidRPr="00CA7074">
        <w:rPr>
          <w:rFonts w:ascii="Arial" w:hAnsi="Arial" w:cs="Arial"/>
        </w:rPr>
        <w:t>‘a context marked by structural inequality’ (Marsh, 2012, 48)</w:t>
      </w:r>
      <w:r w:rsidR="00E978FC">
        <w:rPr>
          <w:rFonts w:ascii="Arial" w:hAnsi="Arial" w:cs="Arial"/>
        </w:rPr>
        <w:t xml:space="preserve">. </w:t>
      </w:r>
    </w:p>
    <w:p w:rsidR="005F099D" w:rsidRDefault="005F099D" w:rsidP="005158B5">
      <w:pPr>
        <w:autoSpaceDE w:val="0"/>
        <w:autoSpaceDN w:val="0"/>
        <w:adjustRightInd w:val="0"/>
        <w:spacing w:after="0" w:line="480" w:lineRule="auto"/>
        <w:jc w:val="both"/>
        <w:rPr>
          <w:rFonts w:ascii="Arial" w:hAnsi="Arial" w:cs="Arial"/>
        </w:rPr>
      </w:pPr>
    </w:p>
    <w:p w:rsidR="003150FE" w:rsidRDefault="005F099D" w:rsidP="005158B5">
      <w:pPr>
        <w:autoSpaceDE w:val="0"/>
        <w:autoSpaceDN w:val="0"/>
        <w:adjustRightInd w:val="0"/>
        <w:spacing w:after="0" w:line="480" w:lineRule="auto"/>
        <w:jc w:val="both"/>
        <w:rPr>
          <w:rFonts w:ascii="Arial" w:hAnsi="Arial" w:cs="Arial"/>
        </w:rPr>
      </w:pPr>
      <w:r>
        <w:rPr>
          <w:rFonts w:ascii="Arial" w:hAnsi="Arial" w:cs="Arial"/>
        </w:rPr>
        <w:t>Others, however, argue that there are relatively minor differences in patterns of de</w:t>
      </w:r>
      <w:r w:rsidR="002E7B8B">
        <w:rPr>
          <w:rFonts w:ascii="Arial" w:hAnsi="Arial" w:cs="Arial"/>
        </w:rPr>
        <w:t xml:space="preserve">cision-making </w:t>
      </w:r>
      <w:r w:rsidR="00426209">
        <w:rPr>
          <w:rFonts w:ascii="Arial" w:hAnsi="Arial" w:cs="Arial"/>
        </w:rPr>
        <w:t>between western European countries</w:t>
      </w:r>
      <w:r w:rsidR="00C60460">
        <w:rPr>
          <w:rFonts w:ascii="Arial" w:hAnsi="Arial" w:cs="Arial"/>
        </w:rPr>
        <w:t xml:space="preserve"> (Richardson et al 1982)</w:t>
      </w:r>
      <w:r>
        <w:rPr>
          <w:rFonts w:ascii="Arial" w:hAnsi="Arial" w:cs="Arial"/>
        </w:rPr>
        <w:t xml:space="preserve">. </w:t>
      </w:r>
      <w:r w:rsidRPr="000E55D1">
        <w:rPr>
          <w:rFonts w:ascii="Arial" w:hAnsi="Arial" w:cs="Arial"/>
        </w:rPr>
        <w:t>Cairney (2008, 368) argues that this common approach to policymaking ‘</w:t>
      </w:r>
      <w:r w:rsidRPr="000E55D1">
        <w:rPr>
          <w:rFonts w:ascii="Arial" w:hAnsi="Arial" w:cs="Arial"/>
          <w:lang w:eastAsia="en-GB"/>
        </w:rPr>
        <w:t>is based on the logic of consultation and the benefits of reaching a consensus with interest groups rather than imposing decisions</w:t>
      </w:r>
      <w:r w:rsidR="00C11EE1">
        <w:rPr>
          <w:rFonts w:ascii="Arial" w:hAnsi="Arial" w:cs="Arial"/>
          <w:lang w:eastAsia="en-GB"/>
        </w:rPr>
        <w:t>’</w:t>
      </w:r>
      <w:r w:rsidRPr="000E55D1">
        <w:rPr>
          <w:rFonts w:ascii="Arial" w:hAnsi="Arial" w:cs="Arial"/>
          <w:lang w:eastAsia="en-GB"/>
        </w:rPr>
        <w:t xml:space="preserve">. </w:t>
      </w:r>
      <w:r w:rsidR="00426209">
        <w:rPr>
          <w:rFonts w:ascii="Arial" w:hAnsi="Arial" w:cs="Arial"/>
          <w:lang w:eastAsia="en-GB"/>
        </w:rPr>
        <w:t xml:space="preserve">There will only be occasional </w:t>
      </w:r>
      <w:r w:rsidR="00FE151C">
        <w:rPr>
          <w:rFonts w:ascii="Arial" w:hAnsi="Arial" w:cs="Arial"/>
          <w:lang w:eastAsia="en-GB"/>
        </w:rPr>
        <w:t xml:space="preserve">controversial </w:t>
      </w:r>
      <w:r w:rsidR="00426209">
        <w:rPr>
          <w:rFonts w:ascii="Arial" w:hAnsi="Arial" w:cs="Arial"/>
          <w:lang w:eastAsia="en-GB"/>
        </w:rPr>
        <w:t xml:space="preserve">exceptions which he calls </w:t>
      </w:r>
      <w:r w:rsidRPr="000E55D1">
        <w:rPr>
          <w:rFonts w:ascii="Arial" w:hAnsi="Arial" w:cs="Arial"/>
          <w:lang w:eastAsia="en-GB"/>
        </w:rPr>
        <w:t>‘politically contentious themes that dominate media attention’</w:t>
      </w:r>
      <w:r w:rsidR="00426209">
        <w:rPr>
          <w:rFonts w:ascii="Arial" w:hAnsi="Arial" w:cs="Arial"/>
          <w:lang w:eastAsia="en-GB"/>
        </w:rPr>
        <w:t xml:space="preserve"> (</w:t>
      </w:r>
      <w:r w:rsidR="00426209" w:rsidRPr="000E55D1">
        <w:rPr>
          <w:rFonts w:ascii="Arial" w:hAnsi="Arial" w:cs="Arial"/>
          <w:lang w:eastAsia="en-GB"/>
        </w:rPr>
        <w:t>Cairney 2008, 354)</w:t>
      </w:r>
      <w:r w:rsidR="00454B39">
        <w:rPr>
          <w:rFonts w:ascii="Arial" w:hAnsi="Arial" w:cs="Arial"/>
          <w:lang w:eastAsia="en-GB"/>
        </w:rPr>
        <w:t xml:space="preserve"> where there will be ministerial interventions</w:t>
      </w:r>
      <w:r w:rsidRPr="000E55D1">
        <w:rPr>
          <w:rFonts w:ascii="Arial" w:hAnsi="Arial" w:cs="Arial"/>
          <w:lang w:eastAsia="en-GB"/>
        </w:rPr>
        <w:t>. This is as opposed to issues which are ‘humdrum’</w:t>
      </w:r>
      <w:r w:rsidR="00C751EA">
        <w:rPr>
          <w:rFonts w:ascii="Arial" w:hAnsi="Arial" w:cs="Arial"/>
          <w:lang w:eastAsia="en-GB"/>
        </w:rPr>
        <w:t>, involving</w:t>
      </w:r>
      <w:r w:rsidRPr="000E55D1">
        <w:rPr>
          <w:rFonts w:ascii="Arial" w:hAnsi="Arial" w:cs="Arial"/>
          <w:lang w:eastAsia="en-GB"/>
        </w:rPr>
        <w:t xml:space="preserve"> p</w:t>
      </w:r>
      <w:r w:rsidR="00C751EA">
        <w:rPr>
          <w:rFonts w:ascii="Arial" w:hAnsi="Arial" w:cs="Arial"/>
          <w:lang w:eastAsia="en-GB"/>
        </w:rPr>
        <w:t>olicy communities making</w:t>
      </w:r>
      <w:r w:rsidR="001F3D14">
        <w:rPr>
          <w:rFonts w:ascii="Arial" w:hAnsi="Arial" w:cs="Arial"/>
          <w:lang w:eastAsia="en-GB"/>
        </w:rPr>
        <w:t xml:space="preserve"> </w:t>
      </w:r>
      <w:r w:rsidRPr="000E55D1">
        <w:rPr>
          <w:rFonts w:ascii="Arial" w:hAnsi="Arial" w:cs="Arial"/>
          <w:lang w:eastAsia="en-GB"/>
        </w:rPr>
        <w:t>decisions on policy details with civil servants discussing the</w:t>
      </w:r>
      <w:r w:rsidR="00C751EA">
        <w:rPr>
          <w:rFonts w:ascii="Arial" w:hAnsi="Arial" w:cs="Arial"/>
          <w:lang w:eastAsia="en-GB"/>
        </w:rPr>
        <w:t>se</w:t>
      </w:r>
      <w:r w:rsidRPr="000E55D1">
        <w:rPr>
          <w:rFonts w:ascii="Arial" w:hAnsi="Arial" w:cs="Arial"/>
          <w:lang w:eastAsia="en-GB"/>
        </w:rPr>
        <w:t xml:space="preserve"> details with the relevant interest groups.</w:t>
      </w:r>
      <w:r w:rsidR="001F3D14">
        <w:rPr>
          <w:rFonts w:ascii="Arial" w:hAnsi="Arial" w:cs="Arial"/>
          <w:lang w:eastAsia="en-GB"/>
        </w:rPr>
        <w:t xml:space="preserve"> </w:t>
      </w:r>
      <w:r w:rsidR="002B20B4">
        <w:rPr>
          <w:rFonts w:ascii="Arial" w:hAnsi="Arial" w:cs="Arial"/>
          <w:lang w:eastAsia="en-GB"/>
        </w:rPr>
        <w:t>Such research builds on earlier studies</w:t>
      </w:r>
      <w:r w:rsidR="00C751EA">
        <w:rPr>
          <w:rFonts w:ascii="Arial" w:hAnsi="Arial" w:cs="Arial"/>
          <w:lang w:eastAsia="en-GB"/>
        </w:rPr>
        <w:t>,</w:t>
      </w:r>
      <w:r w:rsidR="002B20B4">
        <w:rPr>
          <w:rFonts w:ascii="Arial" w:hAnsi="Arial" w:cs="Arial"/>
          <w:lang w:eastAsia="en-GB"/>
        </w:rPr>
        <w:t xml:space="preserve"> such as </w:t>
      </w:r>
      <w:r w:rsidR="00426209">
        <w:rPr>
          <w:rFonts w:ascii="Arial" w:hAnsi="Arial" w:cs="Arial"/>
          <w:lang w:eastAsia="en-GB"/>
        </w:rPr>
        <w:t>J</w:t>
      </w:r>
      <w:r w:rsidR="00CC7822" w:rsidRPr="000E55D1">
        <w:rPr>
          <w:rFonts w:ascii="Arial" w:hAnsi="Arial" w:cs="Arial"/>
        </w:rPr>
        <w:t xml:space="preserve">ordan </w:t>
      </w:r>
      <w:r w:rsidR="002B20B4" w:rsidRPr="00C751EA">
        <w:rPr>
          <w:rFonts w:ascii="Arial" w:hAnsi="Arial" w:cs="Arial"/>
          <w:i/>
        </w:rPr>
        <w:t>et al</w:t>
      </w:r>
      <w:r w:rsidR="002B20B4">
        <w:rPr>
          <w:rFonts w:ascii="Arial" w:hAnsi="Arial" w:cs="Arial"/>
        </w:rPr>
        <w:t xml:space="preserve"> (1994)</w:t>
      </w:r>
      <w:r w:rsidR="00A313D9">
        <w:rPr>
          <w:rFonts w:ascii="Arial" w:hAnsi="Arial" w:cs="Arial"/>
        </w:rPr>
        <w:t xml:space="preserve">, Jordan and Schubert (1992) </w:t>
      </w:r>
      <w:r w:rsidR="002B20B4">
        <w:rPr>
          <w:rFonts w:ascii="Arial" w:hAnsi="Arial" w:cs="Arial"/>
        </w:rPr>
        <w:t xml:space="preserve">and Jordan and Richardson (1982). </w:t>
      </w:r>
      <w:r w:rsidR="003150FE" w:rsidRPr="000E55D1">
        <w:rPr>
          <w:rFonts w:ascii="Arial" w:hAnsi="Arial" w:cs="Arial"/>
        </w:rPr>
        <w:t>Cairney</w:t>
      </w:r>
      <w:r w:rsidR="001F3D14">
        <w:rPr>
          <w:rFonts w:ascii="Arial" w:hAnsi="Arial" w:cs="Arial"/>
        </w:rPr>
        <w:t xml:space="preserve"> </w:t>
      </w:r>
      <w:r w:rsidR="003E329C">
        <w:rPr>
          <w:rFonts w:ascii="Arial" w:hAnsi="Arial" w:cs="Arial"/>
        </w:rPr>
        <w:t xml:space="preserve">and Jordan </w:t>
      </w:r>
      <w:r w:rsidR="00CC7822" w:rsidRPr="000E55D1">
        <w:rPr>
          <w:rFonts w:ascii="Arial" w:hAnsi="Arial" w:cs="Arial"/>
        </w:rPr>
        <w:t>(2013)</w:t>
      </w:r>
      <w:r w:rsidR="00426209">
        <w:rPr>
          <w:rFonts w:ascii="Arial" w:hAnsi="Arial" w:cs="Arial"/>
        </w:rPr>
        <w:t>emphasise such conclusions</w:t>
      </w:r>
      <w:r w:rsidR="00C60460">
        <w:rPr>
          <w:rFonts w:ascii="Arial" w:hAnsi="Arial" w:cs="Arial"/>
        </w:rPr>
        <w:t xml:space="preserve"> and argue against </w:t>
      </w:r>
      <w:r w:rsidR="00C751EA">
        <w:rPr>
          <w:rFonts w:ascii="Arial" w:hAnsi="Arial" w:cs="Arial"/>
        </w:rPr>
        <w:t xml:space="preserve">the idea of </w:t>
      </w:r>
      <w:r w:rsidR="00C60460">
        <w:rPr>
          <w:rFonts w:ascii="Arial" w:hAnsi="Arial" w:cs="Arial"/>
        </w:rPr>
        <w:t xml:space="preserve">British </w:t>
      </w:r>
      <w:r w:rsidR="000061C1">
        <w:rPr>
          <w:rFonts w:ascii="Arial" w:hAnsi="Arial" w:cs="Arial"/>
        </w:rPr>
        <w:t>‘</w:t>
      </w:r>
      <w:r w:rsidR="00C60460">
        <w:rPr>
          <w:rFonts w:ascii="Arial" w:hAnsi="Arial" w:cs="Arial"/>
        </w:rPr>
        <w:t>exceptionalism</w:t>
      </w:r>
      <w:r w:rsidR="000061C1">
        <w:rPr>
          <w:rFonts w:ascii="Arial" w:hAnsi="Arial" w:cs="Arial"/>
        </w:rPr>
        <w:t>’</w:t>
      </w:r>
      <w:r w:rsidR="00426209">
        <w:rPr>
          <w:rFonts w:ascii="Arial" w:hAnsi="Arial" w:cs="Arial"/>
        </w:rPr>
        <w:t>.</w:t>
      </w:r>
    </w:p>
    <w:p w:rsidR="008F3C70" w:rsidRDefault="008F3C70" w:rsidP="005158B5">
      <w:pPr>
        <w:autoSpaceDE w:val="0"/>
        <w:autoSpaceDN w:val="0"/>
        <w:adjustRightInd w:val="0"/>
        <w:spacing w:after="0" w:line="480" w:lineRule="auto"/>
        <w:jc w:val="both"/>
        <w:rPr>
          <w:rFonts w:ascii="Arial" w:hAnsi="Arial" w:cs="Arial"/>
        </w:rPr>
      </w:pPr>
    </w:p>
    <w:p w:rsidR="008F3C70" w:rsidRDefault="008F3C70" w:rsidP="005158B5">
      <w:pPr>
        <w:spacing w:line="480" w:lineRule="auto"/>
        <w:jc w:val="both"/>
        <w:rPr>
          <w:rFonts w:ascii="Arial" w:hAnsi="Arial" w:cs="Arial"/>
        </w:rPr>
      </w:pPr>
      <w:r>
        <w:rPr>
          <w:rFonts w:ascii="Arial" w:hAnsi="Arial" w:cs="Arial"/>
        </w:rPr>
        <w:t xml:space="preserve">What may be cast as a </w:t>
      </w:r>
      <w:r w:rsidR="00806A1F">
        <w:rPr>
          <w:rFonts w:ascii="Arial" w:hAnsi="Arial" w:cs="Arial"/>
        </w:rPr>
        <w:t>further</w:t>
      </w:r>
      <w:r>
        <w:rPr>
          <w:rFonts w:ascii="Arial" w:hAnsi="Arial" w:cs="Arial"/>
        </w:rPr>
        <w:t xml:space="preserve"> distinction is made by Bevir and Rhodes (2003) in a direct comparison between the UK and Denmark. </w:t>
      </w:r>
      <w:r w:rsidRPr="00CA7074">
        <w:rPr>
          <w:rFonts w:ascii="Arial" w:hAnsi="Arial" w:cs="Arial"/>
        </w:rPr>
        <w:t>In Denmark there is, on the one hand, ‘a participative tradition characterised by associational politics’, and</w:t>
      </w:r>
      <w:r w:rsidR="00C751EA">
        <w:rPr>
          <w:rFonts w:ascii="Arial" w:hAnsi="Arial" w:cs="Arial"/>
        </w:rPr>
        <w:t>, on the other,</w:t>
      </w:r>
      <w:r w:rsidRPr="00CA7074">
        <w:rPr>
          <w:rFonts w:ascii="Arial" w:hAnsi="Arial" w:cs="Arial"/>
        </w:rPr>
        <w:t xml:space="preserve"> a ‘negotiated economy’ where the centre has to persuade </w:t>
      </w:r>
      <w:r w:rsidR="00C751EA">
        <w:rPr>
          <w:rFonts w:ascii="Arial" w:hAnsi="Arial" w:cs="Arial"/>
        </w:rPr>
        <w:t xml:space="preserve">other actors </w:t>
      </w:r>
      <w:r w:rsidRPr="00CA7074">
        <w:rPr>
          <w:rFonts w:ascii="Arial" w:hAnsi="Arial" w:cs="Arial"/>
        </w:rPr>
        <w:t xml:space="preserve">rather than impose solutions (Bevir and Rhodes 2003, </w:t>
      </w:r>
      <w:r w:rsidR="00C751EA">
        <w:rPr>
          <w:rFonts w:ascii="Arial" w:hAnsi="Arial" w:cs="Arial"/>
        </w:rPr>
        <w:t xml:space="preserve">102-103). Hence central government, and </w:t>
      </w:r>
      <w:r w:rsidRPr="00CA7074">
        <w:rPr>
          <w:rFonts w:ascii="Arial" w:hAnsi="Arial" w:cs="Arial"/>
        </w:rPr>
        <w:t>other actors, are constrained by the system of government fro</w:t>
      </w:r>
      <w:r w:rsidR="00C751EA">
        <w:rPr>
          <w:rFonts w:ascii="Arial" w:hAnsi="Arial" w:cs="Arial"/>
        </w:rPr>
        <w:t>m imposing policies, and bottom-</w:t>
      </w:r>
      <w:r w:rsidRPr="00CA7074">
        <w:rPr>
          <w:rFonts w:ascii="Arial" w:hAnsi="Arial" w:cs="Arial"/>
        </w:rPr>
        <w:t xml:space="preserve">up governance is more natural to the Danish system than </w:t>
      </w:r>
      <w:r w:rsidR="003377EF">
        <w:rPr>
          <w:rFonts w:ascii="Arial" w:hAnsi="Arial" w:cs="Arial"/>
        </w:rPr>
        <w:t>to the British system</w:t>
      </w:r>
      <w:r w:rsidRPr="00CA7074">
        <w:rPr>
          <w:rFonts w:ascii="Arial" w:hAnsi="Arial" w:cs="Arial"/>
        </w:rPr>
        <w:t>.</w:t>
      </w:r>
    </w:p>
    <w:p w:rsidR="008F3C70" w:rsidRPr="00CA7074" w:rsidRDefault="008F3C70" w:rsidP="005158B5">
      <w:pPr>
        <w:autoSpaceDE w:val="0"/>
        <w:autoSpaceDN w:val="0"/>
        <w:adjustRightInd w:val="0"/>
        <w:spacing w:after="0" w:line="480" w:lineRule="auto"/>
        <w:jc w:val="both"/>
        <w:rPr>
          <w:rFonts w:ascii="Arial" w:hAnsi="Arial" w:cs="Arial"/>
        </w:rPr>
      </w:pPr>
    </w:p>
    <w:p w:rsidR="008F3C70" w:rsidRDefault="008F3C70" w:rsidP="005158B5">
      <w:pPr>
        <w:autoSpaceDE w:val="0"/>
        <w:autoSpaceDN w:val="0"/>
        <w:adjustRightInd w:val="0"/>
        <w:spacing w:after="0" w:line="480" w:lineRule="auto"/>
        <w:jc w:val="both"/>
        <w:rPr>
          <w:rFonts w:ascii="Arial" w:hAnsi="Arial" w:cs="Arial"/>
        </w:rPr>
      </w:pPr>
      <w:r>
        <w:rPr>
          <w:rFonts w:ascii="Arial" w:hAnsi="Arial" w:cs="Arial"/>
        </w:rPr>
        <w:t>Analysis of</w:t>
      </w:r>
      <w:r w:rsidRPr="00CA7074">
        <w:rPr>
          <w:rFonts w:ascii="Arial" w:hAnsi="Arial" w:cs="Arial"/>
        </w:rPr>
        <w:t xml:space="preserve"> Danish politics also offer</w:t>
      </w:r>
      <w:r w:rsidR="00B842E3">
        <w:rPr>
          <w:rFonts w:ascii="Arial" w:hAnsi="Arial" w:cs="Arial"/>
        </w:rPr>
        <w:t>s</w:t>
      </w:r>
      <w:r w:rsidRPr="00CA7074">
        <w:rPr>
          <w:rFonts w:ascii="Arial" w:hAnsi="Arial" w:cs="Arial"/>
        </w:rPr>
        <w:t xml:space="preserve"> conditional confirmation of the </w:t>
      </w:r>
      <w:r>
        <w:rPr>
          <w:rFonts w:ascii="Arial" w:hAnsi="Arial" w:cs="Arial"/>
        </w:rPr>
        <w:t xml:space="preserve">‘consensual’ policy style of Danish politics. </w:t>
      </w:r>
      <w:r w:rsidR="00C751EA">
        <w:rPr>
          <w:rFonts w:ascii="Arial" w:hAnsi="Arial" w:cs="Arial"/>
        </w:rPr>
        <w:t>Green-Pedersen and</w:t>
      </w:r>
      <w:r w:rsidRPr="00CA7074">
        <w:rPr>
          <w:rFonts w:ascii="Arial" w:hAnsi="Arial" w:cs="Arial"/>
        </w:rPr>
        <w:t xml:space="preserve"> Thomsen (2005, 165), in a study of Danish parties, government formation and Parliamentarianism in the 1973-2003 period argue that ‘broad cooperation has, during the entire period, been the dominant means of passing legislation in Denmark’. </w:t>
      </w:r>
      <w:r w:rsidR="003377EF">
        <w:rPr>
          <w:rFonts w:ascii="Arial" w:hAnsi="Arial" w:cs="Arial"/>
        </w:rPr>
        <w:t>Even so</w:t>
      </w:r>
      <w:r w:rsidR="00C751EA">
        <w:rPr>
          <w:rFonts w:ascii="Arial" w:hAnsi="Arial" w:cs="Arial"/>
        </w:rPr>
        <w:t>,</w:t>
      </w:r>
      <w:r>
        <w:rPr>
          <w:rFonts w:ascii="Arial" w:hAnsi="Arial" w:cs="Arial"/>
        </w:rPr>
        <w:t xml:space="preserve"> research on interest group access implies that some interest groups have more privileged access to government than others</w:t>
      </w:r>
      <w:r w:rsidR="00C751EA">
        <w:rPr>
          <w:rFonts w:ascii="Arial" w:hAnsi="Arial" w:cs="Arial"/>
        </w:rPr>
        <w:t>,</w:t>
      </w:r>
      <w:r>
        <w:rPr>
          <w:rFonts w:ascii="Arial" w:hAnsi="Arial" w:cs="Arial"/>
        </w:rPr>
        <w:t xml:space="preserve"> owing to possession of resources including money, employees and network links (Binderkrantz,</w:t>
      </w:r>
      <w:r w:rsidR="001F3D14">
        <w:rPr>
          <w:rFonts w:ascii="Arial" w:hAnsi="Arial" w:cs="Arial"/>
        </w:rPr>
        <w:t xml:space="preserve"> </w:t>
      </w:r>
      <w:r>
        <w:rPr>
          <w:rFonts w:ascii="Arial" w:hAnsi="Arial" w:cs="Arial"/>
        </w:rPr>
        <w:t>Christiansen and Pedersen 2014).</w:t>
      </w:r>
    </w:p>
    <w:p w:rsidR="00426209" w:rsidRPr="000E55D1" w:rsidRDefault="00426209" w:rsidP="005158B5">
      <w:pPr>
        <w:autoSpaceDE w:val="0"/>
        <w:autoSpaceDN w:val="0"/>
        <w:adjustRightInd w:val="0"/>
        <w:spacing w:after="0" w:line="480" w:lineRule="auto"/>
        <w:jc w:val="both"/>
        <w:rPr>
          <w:rFonts w:ascii="Arial" w:hAnsi="Arial" w:cs="Arial"/>
        </w:rPr>
      </w:pPr>
    </w:p>
    <w:p w:rsidR="00FF5D6D" w:rsidRDefault="00FF5D6D" w:rsidP="005158B5">
      <w:pPr>
        <w:spacing w:line="480" w:lineRule="auto"/>
        <w:jc w:val="both"/>
        <w:rPr>
          <w:rFonts w:ascii="Arial" w:hAnsi="Arial" w:cs="Arial"/>
          <w:b/>
        </w:rPr>
      </w:pPr>
      <w:r w:rsidRPr="00CA7074">
        <w:rPr>
          <w:rFonts w:ascii="Arial" w:hAnsi="Arial" w:cs="Arial"/>
          <w:b/>
        </w:rPr>
        <w:t>Outlining key issues</w:t>
      </w:r>
    </w:p>
    <w:p w:rsidR="00170243" w:rsidRPr="00170243" w:rsidRDefault="00170243" w:rsidP="005158B5">
      <w:pPr>
        <w:spacing w:line="480" w:lineRule="auto"/>
        <w:jc w:val="both"/>
        <w:rPr>
          <w:rFonts w:ascii="Arial" w:hAnsi="Arial" w:cs="Arial"/>
        </w:rPr>
      </w:pPr>
      <w:r>
        <w:rPr>
          <w:rFonts w:ascii="Arial" w:hAnsi="Arial" w:cs="Arial"/>
        </w:rPr>
        <w:t xml:space="preserve">In order to examine differences between policymaking processes in the UK and Denmark we need </w:t>
      </w:r>
      <w:r w:rsidR="00542D45">
        <w:rPr>
          <w:rFonts w:ascii="Arial" w:hAnsi="Arial" w:cs="Arial"/>
        </w:rPr>
        <w:t xml:space="preserve">to unpack this theory so that we can studytermsof how the differences in policy style that have been discussed manifest themselves in this particular empirical area of renewable energy.  </w:t>
      </w:r>
      <w:r w:rsidR="00E41949">
        <w:rPr>
          <w:rFonts w:ascii="Arial" w:hAnsi="Arial" w:cs="Arial"/>
        </w:rPr>
        <w:t xml:space="preserve">In particular we want to examine whether the foregoing theory about alleged distinctiveness of British politics to continental styles holds true. Key themes of this distinctiveness are the degree of consensus in policy formulation,  tendencies towards hierarchy and centralisation </w:t>
      </w:r>
      <w:r w:rsidR="005925F8">
        <w:rPr>
          <w:rFonts w:ascii="Arial" w:hAnsi="Arial" w:cs="Arial"/>
        </w:rPr>
        <w:t xml:space="preserve">in policy formulation and implementation, </w:t>
      </w:r>
      <w:r w:rsidR="00E41949">
        <w:rPr>
          <w:rFonts w:ascii="Arial" w:hAnsi="Arial" w:cs="Arial"/>
        </w:rPr>
        <w:t xml:space="preserve">and the role of ministers and policy </w:t>
      </w:r>
      <w:r w:rsidR="00362C38">
        <w:rPr>
          <w:rFonts w:ascii="Arial" w:hAnsi="Arial" w:cs="Arial"/>
        </w:rPr>
        <w:t>communities</w:t>
      </w:r>
      <w:r w:rsidR="00E41949">
        <w:rPr>
          <w:rFonts w:ascii="Arial" w:hAnsi="Arial" w:cs="Arial"/>
        </w:rPr>
        <w:t xml:space="preserve">. </w:t>
      </w:r>
      <w:r w:rsidR="00E01ECD">
        <w:rPr>
          <w:rFonts w:ascii="Arial" w:hAnsi="Arial" w:cs="Arial"/>
        </w:rPr>
        <w:t xml:space="preserve">From these themes we developed a set of </w:t>
      </w:r>
      <w:r w:rsidR="0000698B">
        <w:rPr>
          <w:rFonts w:ascii="Arial" w:hAnsi="Arial" w:cs="Arial"/>
        </w:rPr>
        <w:t>specific issues</w:t>
      </w:r>
      <w:r w:rsidR="00E01ECD">
        <w:rPr>
          <w:rFonts w:ascii="Arial" w:hAnsi="Arial" w:cs="Arial"/>
        </w:rPr>
        <w:t xml:space="preserve"> that will guide our analysis</w:t>
      </w:r>
      <w:r w:rsidR="0000698B">
        <w:rPr>
          <w:rFonts w:ascii="Arial" w:hAnsi="Arial" w:cs="Arial"/>
        </w:rPr>
        <w:t>,</w:t>
      </w:r>
      <w:r w:rsidR="00E01ECD">
        <w:rPr>
          <w:rFonts w:ascii="Arial" w:hAnsi="Arial" w:cs="Arial"/>
        </w:rPr>
        <w:t xml:space="preserve"> contrasting </w:t>
      </w:r>
      <w:r w:rsidR="00542D45">
        <w:rPr>
          <w:rFonts w:ascii="Arial" w:hAnsi="Arial" w:cs="Arial"/>
        </w:rPr>
        <w:t>renewable energy consultations in the two countries.</w:t>
      </w:r>
      <w:r w:rsidR="0000698B">
        <w:rPr>
          <w:rFonts w:ascii="Arial" w:hAnsi="Arial" w:cs="Arial"/>
        </w:rPr>
        <w:t>I</w:t>
      </w:r>
      <w:r w:rsidR="00542D45">
        <w:rPr>
          <w:rFonts w:ascii="Arial" w:hAnsi="Arial" w:cs="Arial"/>
        </w:rPr>
        <w:t xml:space="preserve">n the succeeding sections </w:t>
      </w:r>
      <w:r w:rsidR="0000698B">
        <w:rPr>
          <w:rFonts w:ascii="Arial" w:hAnsi="Arial" w:cs="Arial"/>
        </w:rPr>
        <w:t>we examine these issues</w:t>
      </w:r>
      <w:r w:rsidR="00542D45">
        <w:rPr>
          <w:rFonts w:ascii="Arial" w:hAnsi="Arial" w:cs="Arial"/>
        </w:rPr>
        <w:t xml:space="preserve">in order to respond to our overall research question about differences in policy styles on renewable energy consultations. </w:t>
      </w:r>
    </w:p>
    <w:p w:rsidR="009A0ACE" w:rsidRDefault="00935185" w:rsidP="005158B5">
      <w:pPr>
        <w:pStyle w:val="ListParagraph"/>
        <w:numPr>
          <w:ilvl w:val="0"/>
          <w:numId w:val="2"/>
        </w:numPr>
        <w:spacing w:line="480" w:lineRule="auto"/>
        <w:jc w:val="both"/>
        <w:rPr>
          <w:rFonts w:ascii="Arial" w:hAnsi="Arial" w:cs="Arial"/>
        </w:rPr>
      </w:pPr>
      <w:r>
        <w:rPr>
          <w:rFonts w:ascii="Arial" w:hAnsi="Arial" w:cs="Arial"/>
        </w:rPr>
        <w:t>A</w:t>
      </w:r>
      <w:r w:rsidR="00060793">
        <w:rPr>
          <w:rFonts w:ascii="Arial" w:hAnsi="Arial" w:cs="Arial"/>
        </w:rPr>
        <w:t>dversarial vs. consensus:</w:t>
      </w:r>
    </w:p>
    <w:p w:rsidR="00B90E07" w:rsidRDefault="00542D45" w:rsidP="005158B5">
      <w:pPr>
        <w:pStyle w:val="ListParagraph"/>
        <w:spacing w:line="480" w:lineRule="auto"/>
        <w:ind w:left="0"/>
        <w:jc w:val="both"/>
        <w:rPr>
          <w:rFonts w:ascii="Arial" w:hAnsi="Arial" w:cs="Arial"/>
        </w:rPr>
      </w:pPr>
      <w:r>
        <w:rPr>
          <w:rFonts w:ascii="Arial" w:hAnsi="Arial" w:cs="Arial"/>
        </w:rPr>
        <w:t xml:space="preserve">Here we look at the extent which, in the two cases,  there is </w:t>
      </w:r>
      <w:r w:rsidR="00060793" w:rsidRPr="00060793">
        <w:rPr>
          <w:rFonts w:ascii="Arial" w:hAnsi="Arial" w:cs="Arial"/>
        </w:rPr>
        <w:t xml:space="preserve"> cross party involvement in </w:t>
      </w:r>
      <w:r w:rsidR="00C751EA">
        <w:rPr>
          <w:rFonts w:ascii="Arial" w:hAnsi="Arial" w:cs="Arial"/>
        </w:rPr>
        <w:t xml:space="preserve">the </w:t>
      </w:r>
      <w:r w:rsidR="00060793" w:rsidRPr="00060793">
        <w:rPr>
          <w:rFonts w:ascii="Arial" w:hAnsi="Arial" w:cs="Arial"/>
        </w:rPr>
        <w:t>co</w:t>
      </w:r>
      <w:r w:rsidR="00060793">
        <w:rPr>
          <w:rFonts w:ascii="Arial" w:hAnsi="Arial" w:cs="Arial"/>
        </w:rPr>
        <w:t>nstruction of policy proposals</w:t>
      </w:r>
      <w:r>
        <w:rPr>
          <w:rFonts w:ascii="Arial" w:hAnsi="Arial" w:cs="Arial"/>
        </w:rPr>
        <w:t xml:space="preserve">. Specifically, we look at the processes of consultation that involve the interest groups and the political parties. Hence we study whether, and the extent to which consultation mainly happens when the Government formulates the initial proposals, or whether the Government </w:t>
      </w:r>
      <w:r w:rsidR="00C127C2">
        <w:rPr>
          <w:rFonts w:ascii="Arial" w:hAnsi="Arial" w:cs="Arial"/>
        </w:rPr>
        <w:t>formulates a set of proposals without discussing them with opposition parties</w:t>
      </w:r>
      <w:r w:rsidR="00B01E0C">
        <w:rPr>
          <w:rFonts w:ascii="Arial" w:hAnsi="Arial" w:cs="Arial"/>
        </w:rPr>
        <w:t>. In this case</w:t>
      </w:r>
      <w:r w:rsidR="00C127C2">
        <w:rPr>
          <w:rFonts w:ascii="Arial" w:hAnsi="Arial" w:cs="Arial"/>
        </w:rPr>
        <w:t xml:space="preserve"> the opposition and a wide set of interest groups only become involved in consultation after a set of formal proposals are published. </w:t>
      </w:r>
      <w:r w:rsidR="000B4765">
        <w:rPr>
          <w:rFonts w:ascii="Arial" w:hAnsi="Arial" w:cs="Arial"/>
        </w:rPr>
        <w:t>Th</w:t>
      </w:r>
      <w:r w:rsidR="00B01E0C">
        <w:rPr>
          <w:rFonts w:ascii="Arial" w:hAnsi="Arial" w:cs="Arial"/>
        </w:rPr>
        <w:t>is</w:t>
      </w:r>
      <w:r w:rsidR="000B4765">
        <w:rPr>
          <w:rFonts w:ascii="Arial" w:hAnsi="Arial" w:cs="Arial"/>
        </w:rPr>
        <w:t xml:space="preserve"> process is associated with claims made by analysts such as Marsh (2008, 2012</w:t>
      </w:r>
      <w:r w:rsidR="00B01E0C">
        <w:rPr>
          <w:rFonts w:ascii="Arial" w:hAnsi="Arial" w:cs="Arial"/>
        </w:rPr>
        <w:t>, Flinders 2005)</w:t>
      </w:r>
      <w:r w:rsidR="000B4765">
        <w:rPr>
          <w:rFonts w:ascii="Arial" w:hAnsi="Arial" w:cs="Arial"/>
        </w:rPr>
        <w:t>).</w:t>
      </w:r>
      <w:r w:rsidR="00B01E0C">
        <w:rPr>
          <w:rFonts w:ascii="Arial" w:hAnsi="Arial" w:cs="Arial"/>
        </w:rPr>
        <w:t xml:space="preserve"> Alternatively there could be a ‘consensus’ approach whereby legislation is formed through discussions between government, opposition and relevant interest groups, as described by analysts such as (</w:t>
      </w:r>
      <w:r w:rsidR="00B01E0C" w:rsidRPr="00CA7074">
        <w:rPr>
          <w:rFonts w:ascii="Arial" w:hAnsi="Arial" w:cs="Arial"/>
        </w:rPr>
        <w:t>Green-Pedersen and  Thomsen</w:t>
      </w:r>
      <w:r w:rsidR="00B01E0C">
        <w:rPr>
          <w:rFonts w:ascii="Arial" w:hAnsi="Arial" w:cs="Arial"/>
        </w:rPr>
        <w:t xml:space="preserve"> 2005). </w:t>
      </w:r>
      <w:r w:rsidR="005925F8">
        <w:rPr>
          <w:rFonts w:ascii="Arial" w:hAnsi="Arial" w:cs="Arial"/>
        </w:rPr>
        <w:t xml:space="preserve">2. </w:t>
      </w:r>
      <w:r w:rsidR="00060793">
        <w:rPr>
          <w:rFonts w:ascii="Arial" w:hAnsi="Arial" w:cs="Arial"/>
        </w:rPr>
        <w:t>Degree of hierarchy in policy formulation:</w:t>
      </w:r>
    </w:p>
    <w:p w:rsidR="009A0ACE" w:rsidRDefault="000902D8" w:rsidP="005158B5">
      <w:pPr>
        <w:spacing w:line="480" w:lineRule="auto"/>
        <w:jc w:val="both"/>
        <w:rPr>
          <w:rFonts w:ascii="Arial" w:hAnsi="Arial" w:cs="Arial"/>
        </w:rPr>
      </w:pPr>
      <w:r>
        <w:rPr>
          <w:rFonts w:ascii="Arial" w:hAnsi="Arial" w:cs="Arial"/>
        </w:rPr>
        <w:t xml:space="preserve">Here we examine the degree to which consultation is organised in a ‘top down’ or ‘bottom-up’ way. </w:t>
      </w:r>
      <w:r w:rsidR="00E454EC">
        <w:rPr>
          <w:rFonts w:ascii="Arial" w:hAnsi="Arial" w:cs="Arial"/>
        </w:rPr>
        <w:t>This will help us decide the extent to which notions of ‘hierarchy’ can be applied to the UK than other continental examples, as implied by Marsh (2008</w:t>
      </w:r>
      <w:r w:rsidR="000B4765">
        <w:rPr>
          <w:rFonts w:ascii="Arial" w:hAnsi="Arial" w:cs="Arial"/>
        </w:rPr>
        <w:t>, 2012</w:t>
      </w:r>
      <w:r w:rsidR="00E454EC">
        <w:rPr>
          <w:rFonts w:ascii="Arial" w:hAnsi="Arial" w:cs="Arial"/>
        </w:rPr>
        <w:t xml:space="preserve">) and others. </w:t>
      </w:r>
      <w:r>
        <w:rPr>
          <w:rFonts w:ascii="Arial" w:hAnsi="Arial" w:cs="Arial"/>
        </w:rPr>
        <w:t>For example, a ‘top-down’ approach is characterised by ministers settling policy choices and then a wider set of interest groups being consulted. It may be that under this model a narrow set of interest only maybe consulted at this stage of ministerial agenda-setting. A ‘bottom-up’ approach is characterised by government talking to a broad set of interest groups at an early stage before proposals are formulated and proposed. A further area of study is the extent to which there is a ‘meso-level’ of activity whereby issues are mainly decided by consultations between the civil servants and the interests groups without ministerial involvement except to rubber stamp decisions taken at this ‘meso-leve</w:t>
      </w:r>
      <w:r w:rsidR="00C576B0">
        <w:rPr>
          <w:rFonts w:ascii="Arial" w:hAnsi="Arial" w:cs="Arial"/>
        </w:rPr>
        <w:t>l</w:t>
      </w:r>
      <w:r>
        <w:rPr>
          <w:rFonts w:ascii="Arial" w:hAnsi="Arial" w:cs="Arial"/>
        </w:rPr>
        <w:t xml:space="preserve">’. </w:t>
      </w:r>
    </w:p>
    <w:p w:rsidR="009A0ACE" w:rsidRDefault="00A547BF" w:rsidP="005158B5">
      <w:pPr>
        <w:spacing w:line="480" w:lineRule="auto"/>
        <w:jc w:val="both"/>
        <w:rPr>
          <w:rFonts w:ascii="Arial" w:hAnsi="Arial" w:cs="Arial"/>
        </w:rPr>
      </w:pPr>
      <w:r>
        <w:rPr>
          <w:rFonts w:ascii="Arial" w:hAnsi="Arial" w:cs="Arial"/>
        </w:rPr>
        <w:t>Th</w:t>
      </w:r>
      <w:r w:rsidR="00B23C12">
        <w:rPr>
          <w:rFonts w:ascii="Arial" w:hAnsi="Arial" w:cs="Arial"/>
        </w:rPr>
        <w:t xml:space="preserve">ese are </w:t>
      </w:r>
      <w:r>
        <w:rPr>
          <w:rFonts w:ascii="Arial" w:hAnsi="Arial" w:cs="Arial"/>
        </w:rPr>
        <w:t>key</w:t>
      </w:r>
      <w:r w:rsidR="00B23C12">
        <w:rPr>
          <w:rFonts w:ascii="Arial" w:hAnsi="Arial" w:cs="Arial"/>
        </w:rPr>
        <w:t>s</w:t>
      </w:r>
      <w:r>
        <w:rPr>
          <w:rFonts w:ascii="Arial" w:hAnsi="Arial" w:cs="Arial"/>
        </w:rPr>
        <w:t xml:space="preserve"> issue since the matter of the extent which the UK is ‘exceptionalist’ in deviating from a ‘norm’ of most decisions being made by policy </w:t>
      </w:r>
      <w:r w:rsidR="00362C38">
        <w:rPr>
          <w:rFonts w:ascii="Arial" w:hAnsi="Arial" w:cs="Arial"/>
        </w:rPr>
        <w:t>communities</w:t>
      </w:r>
      <w:r>
        <w:rPr>
          <w:rFonts w:ascii="Arial" w:hAnsi="Arial" w:cs="Arial"/>
        </w:rPr>
        <w:t>is a matter of some controversy among theorists, with Cairney and Jordan (2013) arguing against the notion that Britis</w:t>
      </w:r>
      <w:r w:rsidR="00E46472">
        <w:rPr>
          <w:rFonts w:ascii="Arial" w:hAnsi="Arial" w:cs="Arial"/>
        </w:rPr>
        <w:t>h</w:t>
      </w:r>
      <w:r>
        <w:rPr>
          <w:rFonts w:ascii="Arial" w:hAnsi="Arial" w:cs="Arial"/>
        </w:rPr>
        <w:t xml:space="preserve"> decision-making is very much different from continental practice.</w:t>
      </w:r>
      <w:r w:rsidR="00E46472">
        <w:rPr>
          <w:rFonts w:ascii="Arial" w:hAnsi="Arial" w:cs="Arial"/>
        </w:rPr>
        <w:t xml:space="preserve"> So, therefore, it is important to study the extent to which, in this issue, in the case of the UK especially, decisions are made in policy </w:t>
      </w:r>
      <w:r w:rsidR="00362C38">
        <w:rPr>
          <w:rFonts w:ascii="Arial" w:hAnsi="Arial" w:cs="Arial"/>
        </w:rPr>
        <w:t>communities</w:t>
      </w:r>
      <w:r w:rsidR="00E46472">
        <w:rPr>
          <w:rFonts w:ascii="Arial" w:hAnsi="Arial" w:cs="Arial"/>
        </w:rPr>
        <w:t xml:space="preserve"> between interest groups and civil servants,  - or whether ministers are making decisive interventions in the policy process.</w:t>
      </w:r>
      <w:r w:rsidR="00B23C12">
        <w:rPr>
          <w:rFonts w:ascii="Arial" w:hAnsi="Arial" w:cs="Arial"/>
        </w:rPr>
        <w:t xml:space="preserve"> This research will throw light on the extent to which the theorists discussed earlier are right in talking about hierarchy and centralisation in the case of the Uk compared to examples such as Denmark.</w:t>
      </w:r>
    </w:p>
    <w:p w:rsidR="009A0ACE" w:rsidRDefault="001F3D14" w:rsidP="005158B5">
      <w:pPr>
        <w:pStyle w:val="ListParagraph"/>
        <w:numPr>
          <w:ilvl w:val="0"/>
          <w:numId w:val="3"/>
        </w:numPr>
        <w:spacing w:line="480" w:lineRule="auto"/>
        <w:jc w:val="both"/>
        <w:rPr>
          <w:rFonts w:ascii="Arial" w:hAnsi="Arial" w:cs="Arial"/>
        </w:rPr>
      </w:pPr>
      <w:r>
        <w:rPr>
          <w:rFonts w:ascii="Arial" w:hAnsi="Arial" w:cs="Arial"/>
        </w:rPr>
        <w:t>R</w:t>
      </w:r>
      <w:r w:rsidR="00D647AC">
        <w:rPr>
          <w:rFonts w:ascii="Arial" w:hAnsi="Arial" w:cs="Arial"/>
        </w:rPr>
        <w:t>ole of expert advice</w:t>
      </w:r>
    </w:p>
    <w:p w:rsidR="009A0ACE" w:rsidRDefault="00C576B0" w:rsidP="005158B5">
      <w:pPr>
        <w:spacing w:line="480" w:lineRule="auto"/>
        <w:jc w:val="both"/>
        <w:rPr>
          <w:rFonts w:ascii="Arial" w:hAnsi="Arial" w:cs="Arial"/>
        </w:rPr>
      </w:pPr>
      <w:r>
        <w:rPr>
          <w:rFonts w:ascii="Arial" w:hAnsi="Arial" w:cs="Arial"/>
        </w:rPr>
        <w:t>A key issue to be considered here is the role of expert advice. We need to study how this expert advice is cons</w:t>
      </w:r>
      <w:r w:rsidR="00523E38">
        <w:rPr>
          <w:rFonts w:ascii="Arial" w:hAnsi="Arial" w:cs="Arial"/>
        </w:rPr>
        <w:t>t</w:t>
      </w:r>
      <w:r>
        <w:rPr>
          <w:rFonts w:ascii="Arial" w:hAnsi="Arial" w:cs="Arial"/>
        </w:rPr>
        <w:t xml:space="preserve">ituted – the degree of independence it has from government, and the degree of independent in particular, academic, advice that is involved as opposed to advice that is commissioned on a party political </w:t>
      </w:r>
      <w:r w:rsidR="00523E38">
        <w:rPr>
          <w:rFonts w:ascii="Arial" w:hAnsi="Arial" w:cs="Arial"/>
        </w:rPr>
        <w:t>basis.</w:t>
      </w:r>
      <w:r w:rsidR="00D647AC">
        <w:rPr>
          <w:rFonts w:ascii="Arial" w:hAnsi="Arial" w:cs="Arial"/>
        </w:rPr>
        <w:t xml:space="preserve"> We should study the use of the experts and the degree to which they are integrated in the policymaking process.</w:t>
      </w:r>
    </w:p>
    <w:p w:rsidR="001A1273" w:rsidRDefault="00575031" w:rsidP="005158B5">
      <w:pPr>
        <w:pStyle w:val="ListParagraph"/>
        <w:spacing w:line="480" w:lineRule="auto"/>
        <w:ind w:left="0"/>
        <w:jc w:val="both"/>
        <w:rPr>
          <w:rFonts w:ascii="Arial" w:hAnsi="Arial" w:cs="Arial"/>
        </w:rPr>
      </w:pPr>
      <w:r>
        <w:rPr>
          <w:rFonts w:ascii="Arial" w:hAnsi="Arial" w:cs="Arial"/>
        </w:rPr>
        <w:t xml:space="preserve">4. </w:t>
      </w:r>
      <w:r w:rsidR="00060793">
        <w:rPr>
          <w:rFonts w:ascii="Arial" w:hAnsi="Arial" w:cs="Arial"/>
        </w:rPr>
        <w:t>Degree of centralization in implementation</w:t>
      </w:r>
      <w:r>
        <w:rPr>
          <w:rFonts w:ascii="Arial" w:hAnsi="Arial" w:cs="Arial"/>
        </w:rPr>
        <w:t xml:space="preserve">. </w:t>
      </w:r>
      <w:r w:rsidR="00D647AC">
        <w:rPr>
          <w:rFonts w:ascii="Arial" w:hAnsi="Arial" w:cs="Arial"/>
        </w:rPr>
        <w:t xml:space="preserve">We need to study policy consultation at the local level. </w:t>
      </w:r>
      <w:r w:rsidR="008C23FC">
        <w:rPr>
          <w:rFonts w:ascii="Arial" w:hAnsi="Arial" w:cs="Arial"/>
        </w:rPr>
        <w:t>Planning decisions are particularly relevant here.</w:t>
      </w:r>
      <w:r w:rsidR="00D647AC">
        <w:rPr>
          <w:rFonts w:ascii="Arial" w:hAnsi="Arial" w:cs="Arial"/>
        </w:rPr>
        <w:t>We need to examine wh</w:t>
      </w:r>
      <w:r>
        <w:rPr>
          <w:rFonts w:ascii="Arial" w:hAnsi="Arial" w:cs="Arial"/>
        </w:rPr>
        <w:t>e</w:t>
      </w:r>
      <w:r w:rsidR="00D647AC">
        <w:rPr>
          <w:rFonts w:ascii="Arial" w:hAnsi="Arial" w:cs="Arial"/>
        </w:rPr>
        <w:t>ther local government has independent powers of decision-making. Do local government institutions have the ability to refuse to implement schemes otherwise sanctioned by policies influenced by centralised policy decisions? Alternative</w:t>
      </w:r>
      <w:r w:rsidR="00E41949">
        <w:rPr>
          <w:rFonts w:ascii="Arial" w:hAnsi="Arial" w:cs="Arial"/>
        </w:rPr>
        <w:t>ly</w:t>
      </w:r>
      <w:r w:rsidR="00D647AC">
        <w:rPr>
          <w:rFonts w:ascii="Arial" w:hAnsi="Arial" w:cs="Arial"/>
        </w:rPr>
        <w:t>, does the centre have the power to override the wishes of local government bodies?</w:t>
      </w:r>
      <w:r w:rsidR="00E41949">
        <w:rPr>
          <w:rFonts w:ascii="Arial" w:hAnsi="Arial" w:cs="Arial"/>
        </w:rPr>
        <w:t xml:space="preserve"> In</w:t>
      </w:r>
      <w:r w:rsidR="00662EF4">
        <w:rPr>
          <w:rFonts w:ascii="Arial" w:hAnsi="Arial" w:cs="Arial"/>
        </w:rPr>
        <w:t xml:space="preserve"> </w:t>
      </w:r>
      <w:r w:rsidR="00E41949">
        <w:rPr>
          <w:rFonts w:ascii="Arial" w:hAnsi="Arial" w:cs="Arial"/>
        </w:rPr>
        <w:t>studying this we can judge the extent to which we can contrast the U</w:t>
      </w:r>
      <w:r w:rsidR="00E454EC">
        <w:rPr>
          <w:rFonts w:ascii="Arial" w:hAnsi="Arial" w:cs="Arial"/>
        </w:rPr>
        <w:t>K</w:t>
      </w:r>
      <w:r w:rsidR="00E41949">
        <w:rPr>
          <w:rFonts w:ascii="Arial" w:hAnsi="Arial" w:cs="Arial"/>
        </w:rPr>
        <w:t xml:space="preserve"> as being more centralised compared to Denmark, as argued by theorists such as Bevir and Rhodes (200</w:t>
      </w:r>
      <w:r w:rsidR="00E454EC">
        <w:rPr>
          <w:rFonts w:ascii="Arial" w:hAnsi="Arial" w:cs="Arial"/>
        </w:rPr>
        <w:t>3</w:t>
      </w:r>
      <w:r w:rsidR="00E41949">
        <w:rPr>
          <w:rFonts w:ascii="Arial" w:hAnsi="Arial" w:cs="Arial"/>
        </w:rPr>
        <w:t>).</w:t>
      </w:r>
    </w:p>
    <w:p w:rsidR="00CC56BA" w:rsidRPr="00CA7074" w:rsidRDefault="00CC56BA" w:rsidP="005158B5">
      <w:pPr>
        <w:spacing w:line="480" w:lineRule="auto"/>
        <w:jc w:val="both"/>
        <w:rPr>
          <w:rFonts w:ascii="Arial" w:hAnsi="Arial" w:cs="Arial"/>
          <w:b/>
        </w:rPr>
      </w:pPr>
      <w:r w:rsidRPr="00CA7074">
        <w:rPr>
          <w:rFonts w:ascii="Arial" w:hAnsi="Arial" w:cs="Arial"/>
          <w:b/>
        </w:rPr>
        <w:t>Renewable Energy Consultation in Denmark</w:t>
      </w:r>
    </w:p>
    <w:p w:rsidR="00675D52" w:rsidRDefault="00FA2FD6" w:rsidP="005158B5">
      <w:pPr>
        <w:spacing w:line="480" w:lineRule="auto"/>
        <w:jc w:val="both"/>
        <w:rPr>
          <w:rFonts w:ascii="Arial" w:hAnsi="Arial" w:cs="Arial"/>
        </w:rPr>
      </w:pPr>
      <w:r w:rsidRPr="00CA7074">
        <w:rPr>
          <w:rFonts w:ascii="Arial" w:hAnsi="Arial" w:cs="Arial"/>
        </w:rPr>
        <w:t>In this section we study consultation in renewable energy policymaking and implementation</w:t>
      </w:r>
      <w:r w:rsidR="008C23FC">
        <w:rPr>
          <w:rFonts w:ascii="Arial" w:hAnsi="Arial" w:cs="Arial"/>
        </w:rPr>
        <w:t xml:space="preserve"> in Denmark</w:t>
      </w:r>
      <w:r w:rsidRPr="00CA7074">
        <w:rPr>
          <w:rFonts w:ascii="Arial" w:hAnsi="Arial" w:cs="Arial"/>
        </w:rPr>
        <w:t>. In implementation we focus on windfarms since</w:t>
      </w:r>
      <w:r w:rsidR="00C8650F">
        <w:rPr>
          <w:rFonts w:ascii="Arial" w:hAnsi="Arial" w:cs="Arial"/>
        </w:rPr>
        <w:t xml:space="preserve">, as discussed before, this constitutes the bulk of renewable energy deployed in Denmark. </w:t>
      </w:r>
      <w:r w:rsidRPr="00CA7074">
        <w:rPr>
          <w:rFonts w:ascii="Arial" w:hAnsi="Arial" w:cs="Arial"/>
        </w:rPr>
        <w:t xml:space="preserve">. </w:t>
      </w:r>
      <w:r w:rsidR="009D0E5E" w:rsidRPr="00CA7074">
        <w:rPr>
          <w:rFonts w:ascii="Arial" w:hAnsi="Arial" w:cs="Arial"/>
        </w:rPr>
        <w:t>Denmark was a leader in developing renewable energy, especially wind power, in the 1970s and 1980s</w:t>
      </w:r>
      <w:r w:rsidR="00E0427A">
        <w:rPr>
          <w:rFonts w:ascii="Arial" w:hAnsi="Arial" w:cs="Arial"/>
        </w:rPr>
        <w:t>,</w:t>
      </w:r>
      <w:r w:rsidR="009D0E5E" w:rsidRPr="00CA7074">
        <w:rPr>
          <w:rFonts w:ascii="Arial" w:hAnsi="Arial" w:cs="Arial"/>
        </w:rPr>
        <w:t xml:space="preserve"> and is still a leading manufacturer of wind turbines. Renewable energy develop</w:t>
      </w:r>
      <w:r w:rsidR="002F745E">
        <w:rPr>
          <w:rFonts w:ascii="Arial" w:hAnsi="Arial" w:cs="Arial"/>
        </w:rPr>
        <w:t>ment</w:t>
      </w:r>
      <w:r w:rsidR="009D0E5E" w:rsidRPr="00CA7074">
        <w:rPr>
          <w:rFonts w:ascii="Arial" w:hAnsi="Arial" w:cs="Arial"/>
        </w:rPr>
        <w:t xml:space="preserve"> was inspired at least partly by the anti-nuclear movement</w:t>
      </w:r>
      <w:r w:rsidR="0055623A" w:rsidRPr="00CA7074">
        <w:rPr>
          <w:rFonts w:ascii="Arial" w:hAnsi="Arial" w:cs="Arial"/>
        </w:rPr>
        <w:t xml:space="preserve"> as an alternative to nuclear power as a method of counteracting the oil crisis. I</w:t>
      </w:r>
      <w:r w:rsidR="009D0E5E" w:rsidRPr="00CA7074">
        <w:rPr>
          <w:rFonts w:ascii="Arial" w:hAnsi="Arial" w:cs="Arial"/>
        </w:rPr>
        <w:t>n 1985 Denmark, which until then did not have any nuclear power, eschewed any development of nuclear power in favour of programmes of renewable energy and energy efficiency</w:t>
      </w:r>
      <w:r w:rsidR="001D6831" w:rsidRPr="00CA7074">
        <w:rPr>
          <w:rFonts w:ascii="Arial" w:hAnsi="Arial" w:cs="Arial"/>
        </w:rPr>
        <w:t xml:space="preserve"> (Meyer 2004)</w:t>
      </w:r>
      <w:r w:rsidR="009D0E5E" w:rsidRPr="00CA7074">
        <w:rPr>
          <w:rFonts w:ascii="Arial" w:hAnsi="Arial" w:cs="Arial"/>
        </w:rPr>
        <w:t xml:space="preserve">. </w:t>
      </w:r>
    </w:p>
    <w:p w:rsidR="0009280C" w:rsidRDefault="00050D17" w:rsidP="005158B5">
      <w:pPr>
        <w:spacing w:line="480" w:lineRule="auto"/>
        <w:jc w:val="both"/>
        <w:rPr>
          <w:rFonts w:ascii="Arial" w:hAnsi="Arial" w:cs="Arial"/>
        </w:rPr>
      </w:pPr>
      <w:r w:rsidRPr="00CA7074">
        <w:rPr>
          <w:rFonts w:ascii="Arial" w:hAnsi="Arial" w:cs="Arial"/>
        </w:rPr>
        <w:t>Danish renewable energy has expanded from providing practically no electricity in the 1970s to provid</w:t>
      </w:r>
      <w:r w:rsidR="0059005A">
        <w:rPr>
          <w:rFonts w:ascii="Arial" w:hAnsi="Arial" w:cs="Arial"/>
        </w:rPr>
        <w:t>ing</w:t>
      </w:r>
      <w:r w:rsidRPr="00CA7074">
        <w:rPr>
          <w:rFonts w:ascii="Arial" w:hAnsi="Arial" w:cs="Arial"/>
        </w:rPr>
        <w:t xml:space="preserve"> around </w:t>
      </w:r>
      <w:r w:rsidR="000B41C4" w:rsidRPr="00CA7074">
        <w:rPr>
          <w:rFonts w:ascii="Arial" w:hAnsi="Arial" w:cs="Arial"/>
        </w:rPr>
        <w:t xml:space="preserve">40 </w:t>
      </w:r>
      <w:r w:rsidRPr="00CA7074">
        <w:rPr>
          <w:rFonts w:ascii="Arial" w:hAnsi="Arial" w:cs="Arial"/>
        </w:rPr>
        <w:t>per cent of Danish electricity in 201</w:t>
      </w:r>
      <w:r w:rsidR="00AE62AE" w:rsidRPr="00CA7074">
        <w:rPr>
          <w:rFonts w:ascii="Arial" w:hAnsi="Arial" w:cs="Arial"/>
        </w:rPr>
        <w:t>3</w:t>
      </w:r>
      <w:r w:rsidR="00D2601F" w:rsidRPr="00CA7074">
        <w:rPr>
          <w:rFonts w:ascii="Arial" w:hAnsi="Arial" w:cs="Arial"/>
        </w:rPr>
        <w:t>, the bulk of this coming from windpower</w:t>
      </w:r>
      <w:r w:rsidR="000B41C4" w:rsidRPr="00CA7074">
        <w:rPr>
          <w:rFonts w:ascii="Arial" w:hAnsi="Arial" w:cs="Arial"/>
        </w:rPr>
        <w:t xml:space="preserve"> which provided around 30 per cent of Danish electricity consumption</w:t>
      </w:r>
      <w:r w:rsidR="00675D52">
        <w:rPr>
          <w:rFonts w:ascii="Arial" w:hAnsi="Arial" w:cs="Arial"/>
        </w:rPr>
        <w:t xml:space="preserve"> </w:t>
      </w:r>
      <w:r w:rsidR="004F329C" w:rsidRPr="00CA7074">
        <w:rPr>
          <w:rFonts w:ascii="Arial" w:hAnsi="Arial" w:cs="Arial"/>
        </w:rPr>
        <w:t>(Danish Energy Agency 2014)</w:t>
      </w:r>
      <w:r w:rsidR="00D2601F" w:rsidRPr="00CA7074">
        <w:rPr>
          <w:rFonts w:ascii="Arial" w:hAnsi="Arial" w:cs="Arial"/>
        </w:rPr>
        <w:t xml:space="preserve">. Until the beginning of this century this development mainly occurred through locally owned wind turbines, first predominantly cooperatives, </w:t>
      </w:r>
      <w:r w:rsidR="0009280C">
        <w:rPr>
          <w:rFonts w:ascii="Arial" w:hAnsi="Arial" w:cs="Arial"/>
        </w:rPr>
        <w:t xml:space="preserve">and </w:t>
      </w:r>
      <w:r w:rsidR="00D2601F" w:rsidRPr="00CA7074">
        <w:rPr>
          <w:rFonts w:ascii="Arial" w:hAnsi="Arial" w:cs="Arial"/>
        </w:rPr>
        <w:t xml:space="preserve">later mainly farmer owned. </w:t>
      </w:r>
    </w:p>
    <w:p w:rsidR="0009280C" w:rsidRDefault="0009280C" w:rsidP="005158B5">
      <w:pPr>
        <w:spacing w:line="480" w:lineRule="auto"/>
        <w:jc w:val="both"/>
        <w:rPr>
          <w:rFonts w:ascii="Arial" w:hAnsi="Arial" w:cs="Arial"/>
        </w:rPr>
      </w:pPr>
    </w:p>
    <w:p w:rsidR="00CD6063" w:rsidRDefault="00D2601F" w:rsidP="005158B5">
      <w:pPr>
        <w:spacing w:line="480" w:lineRule="auto"/>
        <w:jc w:val="both"/>
        <w:rPr>
          <w:rFonts w:ascii="Arial" w:hAnsi="Arial" w:cs="Arial"/>
        </w:rPr>
      </w:pPr>
      <w:r w:rsidRPr="00CA7074">
        <w:rPr>
          <w:rFonts w:ascii="Arial" w:hAnsi="Arial" w:cs="Arial"/>
        </w:rPr>
        <w:t>This ‘bottom-up’ development was supported by planning regulations for wind power which largely restricted development to locally owned turbines. Development slowed after the installation of a right wing coalition at the end of 2001</w:t>
      </w:r>
      <w:r w:rsidR="000467DD">
        <w:rPr>
          <w:rFonts w:ascii="Arial" w:hAnsi="Arial" w:cs="Arial"/>
        </w:rPr>
        <w:t>.</w:t>
      </w:r>
      <w:r w:rsidR="0025386E">
        <w:rPr>
          <w:rFonts w:ascii="Arial" w:hAnsi="Arial" w:cs="Arial"/>
        </w:rPr>
        <w:t xml:space="preserve">The policies in the first years of the right-wing coalition government explicitly aimed to </w:t>
      </w:r>
      <w:r w:rsidR="00AA15F2">
        <w:rPr>
          <w:rFonts w:ascii="Arial" w:hAnsi="Arial" w:cs="Arial"/>
        </w:rPr>
        <w:t xml:space="preserve">curtail </w:t>
      </w:r>
      <w:r w:rsidR="0025386E">
        <w:rPr>
          <w:rFonts w:ascii="Arial" w:hAnsi="Arial" w:cs="Arial"/>
        </w:rPr>
        <w:t xml:space="preserve">what was seen as </w:t>
      </w:r>
      <w:r w:rsidR="00F1009B">
        <w:rPr>
          <w:rFonts w:ascii="Arial" w:hAnsi="Arial" w:cs="Arial"/>
        </w:rPr>
        <w:t>‘</w:t>
      </w:r>
      <w:r w:rsidR="0025386E">
        <w:rPr>
          <w:rFonts w:ascii="Arial" w:hAnsi="Arial" w:cs="Arial"/>
        </w:rPr>
        <w:t>empire-building</w:t>
      </w:r>
      <w:r w:rsidR="00F1009B">
        <w:rPr>
          <w:rFonts w:ascii="Arial" w:hAnsi="Arial" w:cs="Arial"/>
        </w:rPr>
        <w:t>’</w:t>
      </w:r>
      <w:r w:rsidR="0025386E">
        <w:rPr>
          <w:rFonts w:ascii="Arial" w:hAnsi="Arial" w:cs="Arial"/>
        </w:rPr>
        <w:t xml:space="preserve"> by the prominent former Environment and Energy Minister, SvendAuken (</w:t>
      </w:r>
      <w:r w:rsidR="00E3340E">
        <w:rPr>
          <w:rFonts w:ascii="Arial" w:hAnsi="Arial" w:cs="Arial"/>
        </w:rPr>
        <w:t>Funch 2006)</w:t>
      </w:r>
      <w:r w:rsidR="00935185">
        <w:rPr>
          <w:rFonts w:ascii="Arial" w:hAnsi="Arial" w:cs="Arial"/>
        </w:rPr>
        <w:t xml:space="preserve">. </w:t>
      </w:r>
      <w:r w:rsidR="00B37B83">
        <w:rPr>
          <w:rFonts w:ascii="Arial" w:hAnsi="Arial" w:cs="Arial"/>
        </w:rPr>
        <w:t>Reflecting a change in focus,</w:t>
      </w:r>
      <w:r w:rsidR="00675D52">
        <w:rPr>
          <w:rFonts w:ascii="Arial" w:hAnsi="Arial" w:cs="Arial"/>
        </w:rPr>
        <w:t xml:space="preserve"> </w:t>
      </w:r>
      <w:r w:rsidR="00B37B83">
        <w:rPr>
          <w:rFonts w:ascii="Arial" w:hAnsi="Arial" w:cs="Arial"/>
        </w:rPr>
        <w:t>p</w:t>
      </w:r>
      <w:r w:rsidR="00935185">
        <w:rPr>
          <w:rFonts w:ascii="Arial" w:hAnsi="Arial" w:cs="Arial"/>
        </w:rPr>
        <w:t>olicy in support of renewable energy</w:t>
      </w:r>
      <w:r w:rsidR="00675D52">
        <w:rPr>
          <w:rFonts w:ascii="Arial" w:hAnsi="Arial" w:cs="Arial"/>
        </w:rPr>
        <w:t xml:space="preserve"> </w:t>
      </w:r>
      <w:r w:rsidR="00935185">
        <w:rPr>
          <w:rFonts w:ascii="Arial" w:hAnsi="Arial" w:cs="Arial"/>
        </w:rPr>
        <w:t xml:space="preserve">was reformulated with a greater emphasis on </w:t>
      </w:r>
      <w:r w:rsidR="0025386E">
        <w:rPr>
          <w:rFonts w:ascii="Arial" w:hAnsi="Arial" w:cs="Arial"/>
        </w:rPr>
        <w:t xml:space="preserve">cost-effectivenessas well as </w:t>
      </w:r>
      <w:r w:rsidR="000E3118">
        <w:rPr>
          <w:rFonts w:ascii="Arial" w:hAnsi="Arial" w:cs="Arial"/>
        </w:rPr>
        <w:t xml:space="preserve">a greater market </w:t>
      </w:r>
      <w:r w:rsidR="00AA15F2">
        <w:rPr>
          <w:rFonts w:ascii="Arial" w:hAnsi="Arial" w:cs="Arial"/>
        </w:rPr>
        <w:t>orientation</w:t>
      </w:r>
      <w:r w:rsidR="000E3118">
        <w:rPr>
          <w:rFonts w:ascii="Arial" w:hAnsi="Arial" w:cs="Arial"/>
        </w:rPr>
        <w:t>(IEA 2006</w:t>
      </w:r>
      <w:r w:rsidR="00935185">
        <w:rPr>
          <w:rFonts w:ascii="Arial" w:hAnsi="Arial" w:cs="Arial"/>
        </w:rPr>
        <w:t>; Jakobsen 2007</w:t>
      </w:r>
      <w:r w:rsidR="000E3118">
        <w:rPr>
          <w:rFonts w:ascii="Arial" w:hAnsi="Arial" w:cs="Arial"/>
        </w:rPr>
        <w:t xml:space="preserve">).  </w:t>
      </w:r>
      <w:r w:rsidR="0039229D">
        <w:rPr>
          <w:rFonts w:ascii="Arial" w:hAnsi="Arial" w:cs="Arial"/>
        </w:rPr>
        <w:t xml:space="preserve">For instance, </w:t>
      </w:r>
      <w:r w:rsidR="000E3118">
        <w:rPr>
          <w:rFonts w:ascii="Arial" w:hAnsi="Arial" w:cs="Arial"/>
        </w:rPr>
        <w:t xml:space="preserve">electricity companies were released from obligations to buy electricity from renewable sources at fixed prices (Nielsen and Pedersen 2013). </w:t>
      </w:r>
    </w:p>
    <w:p w:rsidR="00CD6063" w:rsidRDefault="00CD6063" w:rsidP="005158B5">
      <w:pPr>
        <w:spacing w:line="480" w:lineRule="auto"/>
        <w:jc w:val="both"/>
        <w:rPr>
          <w:rFonts w:ascii="Arial" w:hAnsi="Arial" w:cs="Arial"/>
        </w:rPr>
      </w:pPr>
    </w:p>
    <w:p w:rsidR="00CB74ED" w:rsidRDefault="000467DD" w:rsidP="005158B5">
      <w:pPr>
        <w:spacing w:line="480" w:lineRule="auto"/>
        <w:jc w:val="both"/>
        <w:rPr>
          <w:rFonts w:ascii="Arial" w:hAnsi="Arial" w:cs="Arial"/>
        </w:rPr>
      </w:pPr>
      <w:r>
        <w:rPr>
          <w:rFonts w:ascii="Arial" w:hAnsi="Arial" w:cs="Arial"/>
        </w:rPr>
        <w:t xml:space="preserve">This reduced incentives for onshore wind power development, and while plans for </w:t>
      </w:r>
      <w:r w:rsidR="0039229D">
        <w:rPr>
          <w:rFonts w:ascii="Arial" w:hAnsi="Arial" w:cs="Arial"/>
        </w:rPr>
        <w:t>offshore windmill parks were also scaled back fro</w:t>
      </w:r>
      <w:r w:rsidR="00CB74ED">
        <w:rPr>
          <w:rFonts w:ascii="Arial" w:hAnsi="Arial" w:cs="Arial"/>
        </w:rPr>
        <w:t>m five to two</w:t>
      </w:r>
      <w:r w:rsidR="002870FE">
        <w:rPr>
          <w:rFonts w:ascii="Arial" w:hAnsi="Arial" w:cs="Arial"/>
        </w:rPr>
        <w:t xml:space="preserve"> in 2002</w:t>
      </w:r>
      <w:r w:rsidR="00CB74ED">
        <w:rPr>
          <w:rFonts w:ascii="Arial" w:hAnsi="Arial" w:cs="Arial"/>
        </w:rPr>
        <w:t xml:space="preserve"> (Jakobsen, 2007)</w:t>
      </w:r>
      <w:r w:rsidR="00B37B83">
        <w:rPr>
          <w:rFonts w:ascii="Arial" w:hAnsi="Arial" w:cs="Arial"/>
        </w:rPr>
        <w:t>,</w:t>
      </w:r>
      <w:r w:rsidR="00CB74ED" w:rsidRPr="00CA7074">
        <w:rPr>
          <w:rFonts w:ascii="Arial" w:hAnsi="Arial" w:cs="Arial"/>
        </w:rPr>
        <w:t xml:space="preserve">the majority of new wind development </w:t>
      </w:r>
      <w:r>
        <w:rPr>
          <w:rFonts w:ascii="Arial" w:hAnsi="Arial" w:cs="Arial"/>
        </w:rPr>
        <w:t xml:space="preserve">in the </w:t>
      </w:r>
      <w:r w:rsidR="00B37B83">
        <w:rPr>
          <w:rFonts w:ascii="Arial" w:hAnsi="Arial" w:cs="Arial"/>
        </w:rPr>
        <w:t>succeeding year</w:t>
      </w:r>
      <w:r>
        <w:rPr>
          <w:rFonts w:ascii="Arial" w:hAnsi="Arial" w:cs="Arial"/>
        </w:rPr>
        <w:t xml:space="preserve">s </w:t>
      </w:r>
      <w:r w:rsidR="00CB74ED" w:rsidRPr="00CA7074">
        <w:rPr>
          <w:rFonts w:ascii="Arial" w:hAnsi="Arial" w:cs="Arial"/>
        </w:rPr>
        <w:t xml:space="preserve">has been </w:t>
      </w:r>
      <w:r w:rsidR="00CB74ED" w:rsidRPr="00AD478E">
        <w:rPr>
          <w:rFonts w:ascii="Arial" w:hAnsi="Arial" w:cs="Arial"/>
        </w:rPr>
        <w:t>offshore (Toke 2002, Ryland 2010).</w:t>
      </w:r>
      <w:r w:rsidR="002870FE">
        <w:rPr>
          <w:rFonts w:ascii="Arial" w:hAnsi="Arial" w:cs="Arial"/>
        </w:rPr>
        <w:t xml:space="preserve">In fact, in a 2004 agreement two of the offshore projects were re-adopted. </w:t>
      </w:r>
      <w:r>
        <w:rPr>
          <w:rFonts w:ascii="Arial" w:hAnsi="Arial" w:cs="Arial"/>
        </w:rPr>
        <w:t xml:space="preserve">Finally, </w:t>
      </w:r>
      <w:r w:rsidR="0039229D" w:rsidRPr="00CA7074">
        <w:rPr>
          <w:rFonts w:ascii="Arial" w:hAnsi="Arial" w:cs="Arial"/>
        </w:rPr>
        <w:t>the planning regulations</w:t>
      </w:r>
      <w:r w:rsidR="0039229D">
        <w:rPr>
          <w:rFonts w:ascii="Arial" w:hAnsi="Arial" w:cs="Arial"/>
        </w:rPr>
        <w:t xml:space="preserve"> were changed</w:t>
      </w:r>
      <w:r w:rsidR="0039229D" w:rsidRPr="00CA7074">
        <w:rPr>
          <w:rFonts w:ascii="Arial" w:hAnsi="Arial" w:cs="Arial"/>
        </w:rPr>
        <w:t>, abolishing the preference for locally owned projects.</w:t>
      </w:r>
      <w:r w:rsidR="00675D52">
        <w:rPr>
          <w:rFonts w:ascii="Arial" w:hAnsi="Arial" w:cs="Arial"/>
        </w:rPr>
        <w:t xml:space="preserve"> </w:t>
      </w:r>
      <w:r w:rsidR="00CB74ED">
        <w:rPr>
          <w:rFonts w:ascii="Arial" w:hAnsi="Arial" w:cs="Arial"/>
        </w:rPr>
        <w:t>Even so,</w:t>
      </w:r>
      <w:r w:rsidR="00675D52">
        <w:rPr>
          <w:rFonts w:ascii="Arial" w:hAnsi="Arial" w:cs="Arial"/>
        </w:rPr>
        <w:t xml:space="preserve"> </w:t>
      </w:r>
      <w:r w:rsidR="002870FE">
        <w:rPr>
          <w:rFonts w:ascii="Arial" w:hAnsi="Arial" w:cs="Arial"/>
        </w:rPr>
        <w:t xml:space="preserve">albeit with </w:t>
      </w:r>
      <w:r w:rsidR="00B37B83">
        <w:rPr>
          <w:rFonts w:ascii="Arial" w:hAnsi="Arial" w:cs="Arial"/>
        </w:rPr>
        <w:t>a</w:t>
      </w:r>
      <w:r w:rsidR="00CB74ED">
        <w:rPr>
          <w:rFonts w:ascii="Arial" w:hAnsi="Arial" w:cs="Arial"/>
        </w:rPr>
        <w:t xml:space="preserve"> rather high level of rhetorical conflict over environmental and energy policy, policy making remained largely consensual with broad political participation in most of the energy polic</w:t>
      </w:r>
      <w:r>
        <w:rPr>
          <w:rFonts w:ascii="Arial" w:hAnsi="Arial" w:cs="Arial"/>
        </w:rPr>
        <w:t>y</w:t>
      </w:r>
      <w:r w:rsidR="00CB74ED">
        <w:rPr>
          <w:rFonts w:ascii="Arial" w:hAnsi="Arial" w:cs="Arial"/>
        </w:rPr>
        <w:t xml:space="preserve"> agreements</w:t>
      </w:r>
      <w:r>
        <w:rPr>
          <w:rFonts w:ascii="Arial" w:hAnsi="Arial" w:cs="Arial"/>
        </w:rPr>
        <w:t xml:space="preserve"> that were adopted in the following years (Jakobsen 2007; Energistyrelsen</w:t>
      </w:r>
      <w:r w:rsidR="00F75AD9">
        <w:rPr>
          <w:rFonts w:ascii="Arial" w:hAnsi="Arial" w:cs="Arial"/>
        </w:rPr>
        <w:t xml:space="preserve"> (2014</w:t>
      </w:r>
      <w:r w:rsidR="00EC3CA0">
        <w:rPr>
          <w:rFonts w:ascii="Arial" w:hAnsi="Arial" w:cs="Arial"/>
        </w:rPr>
        <w:t>)</w:t>
      </w:r>
      <w:r w:rsidR="002870FE">
        <w:rPr>
          <w:rFonts w:ascii="Arial" w:hAnsi="Arial" w:cs="Arial"/>
        </w:rPr>
        <w:t>. But</w:t>
      </w:r>
      <w:r w:rsidR="0009280C">
        <w:rPr>
          <w:rFonts w:ascii="Arial" w:hAnsi="Arial" w:cs="Arial"/>
        </w:rPr>
        <w:t>,</w:t>
      </w:r>
      <w:r w:rsidR="002870FE">
        <w:rPr>
          <w:rFonts w:ascii="Arial" w:hAnsi="Arial" w:cs="Arial"/>
        </w:rPr>
        <w:t xml:space="preserve"> wind power installations large</w:t>
      </w:r>
      <w:r w:rsidR="002445BA">
        <w:rPr>
          <w:rFonts w:ascii="Arial" w:hAnsi="Arial" w:cs="Arial"/>
        </w:rPr>
        <w:t>ly</w:t>
      </w:r>
      <w:r w:rsidR="002870FE">
        <w:rPr>
          <w:rFonts w:ascii="Arial" w:hAnsi="Arial" w:cs="Arial"/>
        </w:rPr>
        <w:t xml:space="preserve"> stalled, leading to </w:t>
      </w:r>
      <w:r w:rsidR="002445BA">
        <w:rPr>
          <w:rFonts w:ascii="Arial" w:hAnsi="Arial" w:cs="Arial"/>
        </w:rPr>
        <w:t>opposition demands</w:t>
      </w:r>
      <w:r w:rsidR="002870FE">
        <w:rPr>
          <w:rFonts w:ascii="Arial" w:hAnsi="Arial" w:cs="Arial"/>
        </w:rPr>
        <w:t xml:space="preserve"> for a more ambitious </w:t>
      </w:r>
      <w:r w:rsidR="002445BA">
        <w:rPr>
          <w:rFonts w:ascii="Arial" w:hAnsi="Arial" w:cs="Arial"/>
        </w:rPr>
        <w:t xml:space="preserve">renewable </w:t>
      </w:r>
      <w:r w:rsidR="002870FE">
        <w:rPr>
          <w:rFonts w:ascii="Arial" w:hAnsi="Arial" w:cs="Arial"/>
        </w:rPr>
        <w:t>energy policy (Politiken 2007).</w:t>
      </w:r>
    </w:p>
    <w:p w:rsidR="007B7B3A" w:rsidRDefault="00C312FB" w:rsidP="005158B5">
      <w:pPr>
        <w:spacing w:line="480" w:lineRule="auto"/>
        <w:jc w:val="both"/>
        <w:rPr>
          <w:rFonts w:ascii="Arial" w:hAnsi="Arial" w:cs="Arial"/>
        </w:rPr>
      </w:pPr>
      <w:r w:rsidRPr="00CA7074">
        <w:rPr>
          <w:rFonts w:ascii="Arial" w:hAnsi="Arial" w:cs="Arial"/>
        </w:rPr>
        <w:t>EU and international pressures for greater action to deal with energy shortages and action on climate change</w:t>
      </w:r>
      <w:r w:rsidR="00E109DF">
        <w:rPr>
          <w:rFonts w:ascii="Arial" w:hAnsi="Arial" w:cs="Arial"/>
        </w:rPr>
        <w:t xml:space="preserve"> were key pressures t</w:t>
      </w:r>
      <w:r w:rsidRPr="00CA7074">
        <w:rPr>
          <w:rFonts w:ascii="Arial" w:hAnsi="Arial" w:cs="Arial"/>
        </w:rPr>
        <w:t>o increase incentives for wind power.</w:t>
      </w:r>
      <w:r w:rsidR="00FF17FB" w:rsidRPr="00CA7074">
        <w:rPr>
          <w:rFonts w:ascii="Arial" w:hAnsi="Arial" w:cs="Arial"/>
        </w:rPr>
        <w:t xml:space="preserve"> A new </w:t>
      </w:r>
      <w:r w:rsidR="00626409">
        <w:rPr>
          <w:rFonts w:ascii="Arial" w:hAnsi="Arial" w:cs="Arial"/>
        </w:rPr>
        <w:t>R</w:t>
      </w:r>
      <w:r w:rsidR="00FF17FB" w:rsidRPr="00CA7074">
        <w:rPr>
          <w:rFonts w:ascii="Arial" w:hAnsi="Arial" w:cs="Arial"/>
        </w:rPr>
        <w:t>enewable Energy Act in 2008 introduced new incentives for wind power</w:t>
      </w:r>
      <w:r w:rsidR="00B31495" w:rsidRPr="00CA7074">
        <w:rPr>
          <w:rFonts w:ascii="Arial" w:hAnsi="Arial" w:cs="Arial"/>
        </w:rPr>
        <w:t xml:space="preserve"> and also for solar </w:t>
      </w:r>
      <w:r w:rsidR="00E109DF">
        <w:rPr>
          <w:rFonts w:ascii="Arial" w:hAnsi="Arial" w:cs="Arial"/>
        </w:rPr>
        <w:t>photovltaics (pv)</w:t>
      </w:r>
      <w:r w:rsidR="00B31495" w:rsidRPr="00CA7074">
        <w:rPr>
          <w:rFonts w:ascii="Arial" w:hAnsi="Arial" w:cs="Arial"/>
        </w:rPr>
        <w:t>for households</w:t>
      </w:r>
      <w:r w:rsidR="00A20FFB">
        <w:rPr>
          <w:rFonts w:ascii="Arial" w:hAnsi="Arial" w:cs="Arial"/>
        </w:rPr>
        <w:t xml:space="preserve"> (</w:t>
      </w:r>
      <w:r w:rsidR="0054344D">
        <w:rPr>
          <w:rFonts w:ascii="Arial" w:hAnsi="Arial" w:cs="Arial"/>
        </w:rPr>
        <w:t>Retsinformation.Dk</w:t>
      </w:r>
      <w:r w:rsidR="001469E3">
        <w:rPr>
          <w:rFonts w:ascii="Arial" w:hAnsi="Arial" w:cs="Arial"/>
        </w:rPr>
        <w:t xml:space="preserve"> 2008</w:t>
      </w:r>
      <w:r w:rsidR="00A20FFB">
        <w:rPr>
          <w:rFonts w:ascii="Arial" w:hAnsi="Arial" w:cs="Arial"/>
        </w:rPr>
        <w:t>)</w:t>
      </w:r>
      <w:r w:rsidR="00FF17FB" w:rsidRPr="00CA7074">
        <w:rPr>
          <w:rFonts w:ascii="Arial" w:hAnsi="Arial" w:cs="Arial"/>
        </w:rPr>
        <w:t>.</w:t>
      </w:r>
      <w:r w:rsidR="008B2604">
        <w:rPr>
          <w:rFonts w:ascii="Arial" w:hAnsi="Arial" w:cs="Arial"/>
        </w:rPr>
        <w:t>This legislation was agreed by</w:t>
      </w:r>
      <w:r w:rsidR="00FF17FB" w:rsidRPr="00CA7074">
        <w:rPr>
          <w:rFonts w:ascii="Arial" w:hAnsi="Arial" w:cs="Arial"/>
        </w:rPr>
        <w:t xml:space="preserve"> all of the parties in the Danish Parliament (Fo</w:t>
      </w:r>
      <w:r w:rsidR="00051184" w:rsidRPr="00CA7074">
        <w:rPr>
          <w:rFonts w:ascii="Arial" w:hAnsi="Arial" w:cs="Arial"/>
        </w:rPr>
        <w:t>l</w:t>
      </w:r>
      <w:r w:rsidR="00FF17FB" w:rsidRPr="00CA7074">
        <w:rPr>
          <w:rFonts w:ascii="Arial" w:hAnsi="Arial" w:cs="Arial"/>
        </w:rPr>
        <w:t xml:space="preserve">keting) apart from </w:t>
      </w:r>
      <w:r w:rsidR="00322DA4">
        <w:rPr>
          <w:rFonts w:ascii="Arial" w:hAnsi="Arial" w:cs="Arial"/>
        </w:rPr>
        <w:t>one</w:t>
      </w:r>
      <w:r w:rsidR="008B2604">
        <w:rPr>
          <w:rFonts w:ascii="Arial" w:hAnsi="Arial" w:cs="Arial"/>
        </w:rPr>
        <w:t xml:space="preserve"> party - </w:t>
      </w:r>
      <w:r w:rsidR="00322DA4">
        <w:rPr>
          <w:rFonts w:ascii="Arial" w:hAnsi="Arial" w:cs="Arial"/>
        </w:rPr>
        <w:t xml:space="preserve">the </w:t>
      </w:r>
      <w:r w:rsidR="00FF17FB" w:rsidRPr="00CA7074">
        <w:rPr>
          <w:rFonts w:ascii="Arial" w:hAnsi="Arial" w:cs="Arial"/>
        </w:rPr>
        <w:t>Red-Green Alliance</w:t>
      </w:r>
      <w:r w:rsidR="008B2604">
        <w:rPr>
          <w:rFonts w:ascii="Arial" w:hAnsi="Arial" w:cs="Arial"/>
        </w:rPr>
        <w:t xml:space="preserve"> - </w:t>
      </w:r>
      <w:r w:rsidR="002445BA">
        <w:rPr>
          <w:rFonts w:ascii="Arial" w:hAnsi="Arial" w:cs="Arial"/>
        </w:rPr>
        <w:t>following contentious and drawn out negotiations</w:t>
      </w:r>
      <w:r w:rsidR="00FF17FB" w:rsidRPr="00CA7074">
        <w:rPr>
          <w:rFonts w:ascii="Arial" w:hAnsi="Arial" w:cs="Arial"/>
        </w:rPr>
        <w:t xml:space="preserve">. </w:t>
      </w:r>
      <w:r w:rsidR="003E4894">
        <w:rPr>
          <w:rFonts w:ascii="Arial" w:hAnsi="Arial" w:cs="Arial"/>
        </w:rPr>
        <w:t xml:space="preserve">The agreement </w:t>
      </w:r>
      <w:r w:rsidR="007B7B3A">
        <w:rPr>
          <w:rFonts w:ascii="Arial" w:hAnsi="Arial" w:cs="Arial"/>
        </w:rPr>
        <w:t>covered only the short term, i.e. through</w:t>
      </w:r>
      <w:r w:rsidR="003E4894">
        <w:rPr>
          <w:rFonts w:ascii="Arial" w:hAnsi="Arial" w:cs="Arial"/>
        </w:rPr>
        <w:t xml:space="preserve"> 2011. </w:t>
      </w:r>
    </w:p>
    <w:p w:rsidR="008B2604" w:rsidRDefault="008B2604" w:rsidP="005158B5">
      <w:pPr>
        <w:spacing w:line="480" w:lineRule="auto"/>
        <w:jc w:val="both"/>
        <w:rPr>
          <w:rFonts w:ascii="Arial" w:hAnsi="Arial" w:cs="Arial"/>
        </w:rPr>
      </w:pPr>
    </w:p>
    <w:p w:rsidR="00837ADF" w:rsidRDefault="00A32517" w:rsidP="005158B5">
      <w:pPr>
        <w:spacing w:line="480" w:lineRule="auto"/>
        <w:jc w:val="both"/>
        <w:rPr>
          <w:rFonts w:ascii="Arial" w:hAnsi="Arial" w:cs="Arial"/>
        </w:rPr>
      </w:pPr>
      <w:r>
        <w:rPr>
          <w:rFonts w:ascii="Arial" w:hAnsi="Arial" w:cs="Arial"/>
        </w:rPr>
        <w:t>At the same time</w:t>
      </w:r>
      <w:r w:rsidR="008B2604">
        <w:rPr>
          <w:rFonts w:ascii="Arial" w:hAnsi="Arial" w:cs="Arial"/>
        </w:rPr>
        <w:t>,</w:t>
      </w:r>
      <w:r w:rsidR="00675D52">
        <w:rPr>
          <w:rFonts w:ascii="Arial" w:hAnsi="Arial" w:cs="Arial"/>
        </w:rPr>
        <w:t xml:space="preserve"> </w:t>
      </w:r>
      <w:r w:rsidR="007B7B3A">
        <w:rPr>
          <w:rFonts w:ascii="Arial" w:hAnsi="Arial" w:cs="Arial"/>
        </w:rPr>
        <w:t xml:space="preserve">a policy process </w:t>
      </w:r>
      <w:r w:rsidR="004D79B8">
        <w:rPr>
          <w:rFonts w:ascii="Arial" w:hAnsi="Arial" w:cs="Arial"/>
        </w:rPr>
        <w:t>involving</w:t>
      </w:r>
      <w:r w:rsidR="00675D52">
        <w:rPr>
          <w:rFonts w:ascii="Arial" w:hAnsi="Arial" w:cs="Arial"/>
        </w:rPr>
        <w:t xml:space="preserve"> </w:t>
      </w:r>
      <w:r w:rsidR="00D211A1">
        <w:rPr>
          <w:rFonts w:ascii="Arial" w:hAnsi="Arial" w:cs="Arial"/>
        </w:rPr>
        <w:t>a</w:t>
      </w:r>
      <w:r w:rsidR="00675D52">
        <w:rPr>
          <w:rFonts w:ascii="Arial" w:hAnsi="Arial" w:cs="Arial"/>
        </w:rPr>
        <w:t xml:space="preserve"> </w:t>
      </w:r>
      <w:r w:rsidR="007B7B3A">
        <w:rPr>
          <w:rFonts w:ascii="Arial" w:hAnsi="Arial" w:cs="Arial"/>
        </w:rPr>
        <w:t>longer term</w:t>
      </w:r>
      <w:r w:rsidR="00675D52">
        <w:rPr>
          <w:rFonts w:ascii="Arial" w:hAnsi="Arial" w:cs="Arial"/>
        </w:rPr>
        <w:t xml:space="preserve"> </w:t>
      </w:r>
      <w:r>
        <w:rPr>
          <w:rFonts w:ascii="Arial" w:hAnsi="Arial" w:cs="Arial"/>
        </w:rPr>
        <w:t xml:space="preserve">energy strategy </w:t>
      </w:r>
      <w:r w:rsidR="00FF17FB" w:rsidRPr="00CA7074">
        <w:rPr>
          <w:rFonts w:ascii="Arial" w:hAnsi="Arial" w:cs="Arial"/>
        </w:rPr>
        <w:t xml:space="preserve">began with the </w:t>
      </w:r>
      <w:r w:rsidR="00187D4A" w:rsidRPr="00CA7074">
        <w:rPr>
          <w:rFonts w:ascii="Arial" w:hAnsi="Arial" w:cs="Arial"/>
        </w:rPr>
        <w:t>establishment</w:t>
      </w:r>
      <w:r w:rsidR="00FF6F50">
        <w:rPr>
          <w:rFonts w:ascii="Arial" w:hAnsi="Arial" w:cs="Arial"/>
        </w:rPr>
        <w:t xml:space="preserve"> in 2008</w:t>
      </w:r>
      <w:r w:rsidR="00187D4A" w:rsidRPr="00CA7074">
        <w:rPr>
          <w:rFonts w:ascii="Arial" w:hAnsi="Arial" w:cs="Arial"/>
        </w:rPr>
        <w:t xml:space="preserve">of </w:t>
      </w:r>
      <w:r w:rsidR="00FF17FB" w:rsidRPr="00CA7074">
        <w:rPr>
          <w:rFonts w:ascii="Arial" w:hAnsi="Arial" w:cs="Arial"/>
        </w:rPr>
        <w:t>an expert ‘Climate Commission’</w:t>
      </w:r>
      <w:r w:rsidR="006E7153">
        <w:rPr>
          <w:rFonts w:ascii="Arial" w:hAnsi="Arial" w:cs="Arial"/>
        </w:rPr>
        <w:t xml:space="preserve">, </w:t>
      </w:r>
      <w:r w:rsidR="009547B8">
        <w:rPr>
          <w:rFonts w:ascii="Arial" w:hAnsi="Arial" w:cs="Arial"/>
        </w:rPr>
        <w:t>as laid out in the Government’s inaugural program (Regeringen 2007)</w:t>
      </w:r>
      <w:r w:rsidR="006E7153">
        <w:rPr>
          <w:rFonts w:ascii="Arial" w:hAnsi="Arial" w:cs="Arial"/>
        </w:rPr>
        <w:t>.</w:t>
      </w:r>
      <w:r w:rsidR="008B2592">
        <w:rPr>
          <w:rFonts w:ascii="Arial" w:hAnsi="Arial" w:cs="Arial"/>
        </w:rPr>
        <w:t>This was in the context of perceptions that the governing parties needed to cultivate a ‘greener’ image</w:t>
      </w:r>
      <w:r w:rsidR="009C549C">
        <w:rPr>
          <w:rFonts w:ascii="Arial" w:hAnsi="Arial" w:cs="Arial"/>
        </w:rPr>
        <w:t>, the upcoming COP15 conference to be held in Copenhagen</w:t>
      </w:r>
      <w:r w:rsidR="004D79B8">
        <w:rPr>
          <w:rFonts w:ascii="Arial" w:hAnsi="Arial" w:cs="Arial"/>
        </w:rPr>
        <w:t>,</w:t>
      </w:r>
      <w:r w:rsidR="008B2592">
        <w:rPr>
          <w:rFonts w:ascii="Arial" w:hAnsi="Arial" w:cs="Arial"/>
        </w:rPr>
        <w:t xml:space="preserve"> a</w:t>
      </w:r>
      <w:r w:rsidR="009C549C">
        <w:rPr>
          <w:rFonts w:ascii="Arial" w:hAnsi="Arial" w:cs="Arial"/>
        </w:rPr>
        <w:t xml:space="preserve">s well as </w:t>
      </w:r>
      <w:r w:rsidR="008B2592">
        <w:rPr>
          <w:rFonts w:ascii="Arial" w:hAnsi="Arial" w:cs="Arial"/>
        </w:rPr>
        <w:t>discussions</w:t>
      </w:r>
      <w:r w:rsidR="004D79B8">
        <w:rPr>
          <w:rFonts w:ascii="Arial" w:hAnsi="Arial" w:cs="Arial"/>
        </w:rPr>
        <w:t xml:space="preserve"> in the European Union </w:t>
      </w:r>
      <w:r w:rsidR="009C549C">
        <w:rPr>
          <w:rFonts w:ascii="Arial" w:hAnsi="Arial" w:cs="Arial"/>
        </w:rPr>
        <w:t xml:space="preserve">on renewable energy targets that eventually </w:t>
      </w:r>
      <w:r w:rsidR="008B2592">
        <w:rPr>
          <w:rFonts w:ascii="Arial" w:hAnsi="Arial" w:cs="Arial"/>
        </w:rPr>
        <w:t>led to a Directive in 2009 mandating member states to ach</w:t>
      </w:r>
      <w:r w:rsidR="004E78F9">
        <w:rPr>
          <w:rFonts w:ascii="Arial" w:hAnsi="Arial" w:cs="Arial"/>
        </w:rPr>
        <w:t>i</w:t>
      </w:r>
      <w:r w:rsidR="008B2592">
        <w:rPr>
          <w:rFonts w:ascii="Arial" w:hAnsi="Arial" w:cs="Arial"/>
        </w:rPr>
        <w:t xml:space="preserve">eve ambitious targets for renewable energy deployment. </w:t>
      </w:r>
    </w:p>
    <w:p w:rsidR="00B12C22" w:rsidRDefault="00A32517" w:rsidP="005158B5">
      <w:pPr>
        <w:spacing w:line="480" w:lineRule="auto"/>
        <w:jc w:val="both"/>
        <w:rPr>
          <w:rStyle w:val="hps"/>
          <w:rFonts w:ascii="Arial" w:hAnsi="Arial" w:cs="Arial"/>
        </w:rPr>
      </w:pPr>
      <w:r w:rsidRPr="00CA7074">
        <w:rPr>
          <w:rFonts w:ascii="Arial" w:hAnsi="Arial" w:cs="Arial"/>
        </w:rPr>
        <w:t>Academics</w:t>
      </w:r>
      <w:r w:rsidR="00675D52">
        <w:rPr>
          <w:rFonts w:ascii="Arial" w:hAnsi="Arial" w:cs="Arial"/>
        </w:rPr>
        <w:t xml:space="preserve"> </w:t>
      </w:r>
      <w:r w:rsidRPr="00CA7074">
        <w:rPr>
          <w:rFonts w:ascii="Arial" w:hAnsi="Arial" w:cs="Arial"/>
        </w:rPr>
        <w:t xml:space="preserve">formed the membership of this </w:t>
      </w:r>
      <w:r w:rsidR="006E7153">
        <w:rPr>
          <w:rFonts w:ascii="Arial" w:hAnsi="Arial" w:cs="Arial"/>
        </w:rPr>
        <w:t xml:space="preserve">10-person </w:t>
      </w:r>
      <w:r w:rsidR="005975E9">
        <w:rPr>
          <w:rFonts w:ascii="Arial" w:hAnsi="Arial" w:cs="Arial"/>
        </w:rPr>
        <w:t>C</w:t>
      </w:r>
      <w:r w:rsidRPr="00CA7074">
        <w:rPr>
          <w:rFonts w:ascii="Arial" w:hAnsi="Arial" w:cs="Arial"/>
        </w:rPr>
        <w:t>ommission, appointed according to areas of expertise</w:t>
      </w:r>
      <w:r>
        <w:rPr>
          <w:rFonts w:ascii="Arial" w:hAnsi="Arial" w:cs="Arial"/>
        </w:rPr>
        <w:t xml:space="preserve"> with about ha</w:t>
      </w:r>
      <w:r w:rsidR="009547B8">
        <w:rPr>
          <w:rFonts w:ascii="Arial" w:hAnsi="Arial" w:cs="Arial"/>
        </w:rPr>
        <w:t>lf of the members being economi</w:t>
      </w:r>
      <w:r>
        <w:rPr>
          <w:rFonts w:ascii="Arial" w:hAnsi="Arial" w:cs="Arial"/>
        </w:rPr>
        <w:t>st</w:t>
      </w:r>
      <w:r w:rsidR="009547B8">
        <w:rPr>
          <w:rFonts w:ascii="Arial" w:hAnsi="Arial" w:cs="Arial"/>
        </w:rPr>
        <w:t>s</w:t>
      </w:r>
      <w:r>
        <w:rPr>
          <w:rFonts w:ascii="Arial" w:hAnsi="Arial" w:cs="Arial"/>
        </w:rPr>
        <w:t xml:space="preserve"> and the other half </w:t>
      </w:r>
      <w:r w:rsidR="006E7153">
        <w:rPr>
          <w:rFonts w:ascii="Arial" w:hAnsi="Arial" w:cs="Arial"/>
        </w:rPr>
        <w:t xml:space="preserve">representing different </w:t>
      </w:r>
      <w:r>
        <w:rPr>
          <w:rFonts w:ascii="Arial" w:hAnsi="Arial" w:cs="Arial"/>
        </w:rPr>
        <w:t>natural scien</w:t>
      </w:r>
      <w:r w:rsidR="006E7153">
        <w:rPr>
          <w:rFonts w:ascii="Arial" w:hAnsi="Arial" w:cs="Arial"/>
        </w:rPr>
        <w:t xml:space="preserve">ce </w:t>
      </w:r>
      <w:r>
        <w:rPr>
          <w:rFonts w:ascii="Arial" w:hAnsi="Arial" w:cs="Arial"/>
        </w:rPr>
        <w:t>disciplines</w:t>
      </w:r>
      <w:r w:rsidRPr="00CA7074">
        <w:rPr>
          <w:rFonts w:ascii="Arial" w:hAnsi="Arial" w:cs="Arial"/>
        </w:rPr>
        <w:t xml:space="preserve">. The </w:t>
      </w:r>
      <w:r w:rsidR="004D79B8">
        <w:rPr>
          <w:rFonts w:ascii="Arial" w:hAnsi="Arial" w:cs="Arial"/>
        </w:rPr>
        <w:t>C</w:t>
      </w:r>
      <w:r w:rsidR="0059005A">
        <w:rPr>
          <w:rFonts w:ascii="Arial" w:hAnsi="Arial" w:cs="Arial"/>
        </w:rPr>
        <w:t xml:space="preserve">hair </w:t>
      </w:r>
      <w:r w:rsidRPr="00CA7074">
        <w:rPr>
          <w:rFonts w:ascii="Arial" w:hAnsi="Arial" w:cs="Arial"/>
        </w:rPr>
        <w:t xml:space="preserve">of the </w:t>
      </w:r>
      <w:r w:rsidR="005975E9">
        <w:rPr>
          <w:rFonts w:ascii="Arial" w:hAnsi="Arial" w:cs="Arial"/>
        </w:rPr>
        <w:t>C</w:t>
      </w:r>
      <w:r w:rsidRPr="00CA7074">
        <w:rPr>
          <w:rFonts w:ascii="Arial" w:hAnsi="Arial" w:cs="Arial"/>
        </w:rPr>
        <w:t xml:space="preserve">ommission was a </w:t>
      </w:r>
      <w:r>
        <w:rPr>
          <w:rFonts w:ascii="Arial" w:hAnsi="Arial" w:cs="Arial"/>
        </w:rPr>
        <w:t>p</w:t>
      </w:r>
      <w:r w:rsidRPr="00CA7074">
        <w:rPr>
          <w:rFonts w:ascii="Arial" w:hAnsi="Arial" w:cs="Arial"/>
        </w:rPr>
        <w:t>rofessor with expertise in how biological mechanisms remove carbon dioxide from oceans. Th</w:t>
      </w:r>
      <w:r>
        <w:rPr>
          <w:rFonts w:ascii="Arial" w:hAnsi="Arial" w:cs="Arial"/>
        </w:rPr>
        <w:t xml:space="preserve">e </w:t>
      </w:r>
      <w:r w:rsidR="0059005A">
        <w:rPr>
          <w:rFonts w:ascii="Arial" w:hAnsi="Arial" w:cs="Arial"/>
        </w:rPr>
        <w:t xml:space="preserve">task given to </w:t>
      </w:r>
      <w:r w:rsidRPr="00CA7074">
        <w:rPr>
          <w:rFonts w:ascii="Arial" w:hAnsi="Arial" w:cs="Arial"/>
        </w:rPr>
        <w:t>the Commission was to investigate ‘</w:t>
      </w:r>
      <w:r w:rsidRPr="00CA7074">
        <w:rPr>
          <w:rStyle w:val="hps"/>
          <w:rFonts w:ascii="Arial" w:hAnsi="Arial" w:cs="Arial"/>
          <w:color w:val="222222"/>
        </w:rPr>
        <w:t>how</w:t>
      </w:r>
      <w:r w:rsidR="00675D52">
        <w:rPr>
          <w:rStyle w:val="hps"/>
          <w:rFonts w:ascii="Arial" w:hAnsi="Arial" w:cs="Arial"/>
          <w:color w:val="222222"/>
        </w:rPr>
        <w:t xml:space="preserve"> </w:t>
      </w:r>
      <w:r w:rsidRPr="00CA7074">
        <w:rPr>
          <w:rStyle w:val="hps"/>
          <w:rFonts w:ascii="Arial" w:hAnsi="Arial" w:cs="Arial"/>
          <w:color w:val="222222"/>
        </w:rPr>
        <w:t>the government</w:t>
      </w:r>
      <w:r w:rsidR="008B2592">
        <w:rPr>
          <w:rStyle w:val="hps"/>
          <w:rFonts w:ascii="Arial" w:hAnsi="Arial" w:cs="Arial"/>
          <w:color w:val="222222"/>
        </w:rPr>
        <w:t xml:space="preserve">’s </w:t>
      </w:r>
      <w:r w:rsidRPr="00CA7074">
        <w:rPr>
          <w:rStyle w:val="hps"/>
          <w:rFonts w:ascii="Arial" w:hAnsi="Arial" w:cs="Arial"/>
          <w:color w:val="222222"/>
        </w:rPr>
        <w:t>long-term</w:t>
      </w:r>
      <w:r w:rsidR="00675D52">
        <w:rPr>
          <w:rStyle w:val="hps"/>
          <w:rFonts w:ascii="Arial" w:hAnsi="Arial" w:cs="Arial"/>
          <w:color w:val="222222"/>
        </w:rPr>
        <w:t xml:space="preserve"> </w:t>
      </w:r>
      <w:r w:rsidRPr="00CA7074">
        <w:rPr>
          <w:rStyle w:val="hps"/>
          <w:rFonts w:ascii="Arial" w:hAnsi="Arial" w:cs="Arial"/>
          <w:color w:val="222222"/>
        </w:rPr>
        <w:t>vision o</w:t>
      </w:r>
      <w:r w:rsidR="00675D52">
        <w:rPr>
          <w:rStyle w:val="hps"/>
          <w:rFonts w:ascii="Arial" w:hAnsi="Arial" w:cs="Arial"/>
          <w:color w:val="222222"/>
        </w:rPr>
        <w:t xml:space="preserve"> </w:t>
      </w:r>
      <w:r w:rsidRPr="00CA7074">
        <w:rPr>
          <w:rStyle w:val="hps"/>
          <w:rFonts w:ascii="Arial" w:hAnsi="Arial" w:cs="Arial"/>
          <w:color w:val="222222"/>
        </w:rPr>
        <w:t>fcompletely</w:t>
      </w:r>
      <w:r w:rsidR="00675D52">
        <w:rPr>
          <w:rStyle w:val="hps"/>
          <w:rFonts w:ascii="Arial" w:hAnsi="Arial" w:cs="Arial"/>
          <w:color w:val="222222"/>
        </w:rPr>
        <w:t xml:space="preserve"> </w:t>
      </w:r>
      <w:r w:rsidRPr="00CA7074">
        <w:rPr>
          <w:rStyle w:val="hps"/>
          <w:rFonts w:ascii="Arial" w:hAnsi="Arial" w:cs="Arial"/>
          <w:color w:val="222222"/>
        </w:rPr>
        <w:t>freeing</w:t>
      </w:r>
      <w:r w:rsidR="00675D52">
        <w:rPr>
          <w:rStyle w:val="hps"/>
          <w:rFonts w:ascii="Arial" w:hAnsi="Arial" w:cs="Arial"/>
          <w:color w:val="222222"/>
        </w:rPr>
        <w:t xml:space="preserve"> </w:t>
      </w:r>
      <w:r w:rsidRPr="00CA7074">
        <w:rPr>
          <w:rStyle w:val="hps"/>
          <w:rFonts w:ascii="Arial" w:hAnsi="Arial" w:cs="Arial"/>
          <w:color w:val="222222"/>
        </w:rPr>
        <w:t>Denmark</w:t>
      </w:r>
      <w:r w:rsidR="00675D52">
        <w:rPr>
          <w:rStyle w:val="hps"/>
          <w:rFonts w:ascii="Arial" w:hAnsi="Arial" w:cs="Arial"/>
          <w:color w:val="222222"/>
        </w:rPr>
        <w:t xml:space="preserve"> </w:t>
      </w:r>
      <w:r w:rsidRPr="00CA7074">
        <w:rPr>
          <w:rStyle w:val="hps"/>
          <w:rFonts w:ascii="Arial" w:hAnsi="Arial" w:cs="Arial"/>
          <w:color w:val="222222"/>
        </w:rPr>
        <w:t>from</w:t>
      </w:r>
      <w:r w:rsidR="00675D52">
        <w:rPr>
          <w:rStyle w:val="hps"/>
          <w:rFonts w:ascii="Arial" w:hAnsi="Arial" w:cs="Arial"/>
          <w:color w:val="222222"/>
        </w:rPr>
        <w:t xml:space="preserve"> </w:t>
      </w:r>
      <w:r w:rsidRPr="00CA7074">
        <w:rPr>
          <w:rStyle w:val="hps"/>
          <w:rFonts w:ascii="Arial" w:hAnsi="Arial" w:cs="Arial"/>
          <w:color w:val="222222"/>
        </w:rPr>
        <w:t>dependence on fossil fuels</w:t>
      </w:r>
      <w:r w:rsidR="00675D52">
        <w:rPr>
          <w:rStyle w:val="hps"/>
          <w:rFonts w:ascii="Arial" w:hAnsi="Arial" w:cs="Arial"/>
          <w:color w:val="222222"/>
        </w:rPr>
        <w:t xml:space="preserve"> </w:t>
      </w:r>
      <w:r w:rsidRPr="00CA7074">
        <w:rPr>
          <w:rStyle w:val="hps"/>
          <w:rFonts w:ascii="Arial" w:hAnsi="Arial" w:cs="Arial"/>
          <w:color w:val="222222"/>
        </w:rPr>
        <w:t>can be achieved</w:t>
      </w:r>
      <w:r w:rsidR="00675D52">
        <w:rPr>
          <w:rStyle w:val="hps"/>
          <w:rFonts w:ascii="Arial" w:hAnsi="Arial" w:cs="Arial"/>
          <w:color w:val="222222"/>
        </w:rPr>
        <w:t xml:space="preserve"> </w:t>
      </w:r>
      <w:r w:rsidRPr="00CA7074">
        <w:rPr>
          <w:rStyle w:val="hps"/>
          <w:rFonts w:ascii="Arial" w:hAnsi="Arial" w:cs="Arial"/>
          <w:color w:val="222222"/>
        </w:rPr>
        <w:t>in</w:t>
      </w:r>
      <w:r w:rsidR="00675D52">
        <w:rPr>
          <w:rStyle w:val="hps"/>
          <w:rFonts w:ascii="Arial" w:hAnsi="Arial" w:cs="Arial"/>
          <w:color w:val="222222"/>
        </w:rPr>
        <w:t xml:space="preserve"> </w:t>
      </w:r>
      <w:r w:rsidRPr="00CA7074">
        <w:rPr>
          <w:rStyle w:val="hps"/>
          <w:rFonts w:ascii="Arial" w:hAnsi="Arial" w:cs="Arial"/>
          <w:color w:val="222222"/>
        </w:rPr>
        <w:t>practice’ (Klimakommissionen 2010, 3).</w:t>
      </w:r>
      <w:r w:rsidR="00D211A1">
        <w:rPr>
          <w:rStyle w:val="hps"/>
          <w:rFonts w:ascii="Arial" w:hAnsi="Arial" w:cs="Arial"/>
          <w:color w:val="222222"/>
        </w:rPr>
        <w:t>As such</w:t>
      </w:r>
      <w:r w:rsidR="009547B8">
        <w:rPr>
          <w:rStyle w:val="hps"/>
          <w:rFonts w:ascii="Arial" w:hAnsi="Arial" w:cs="Arial"/>
          <w:color w:val="222222"/>
        </w:rPr>
        <w:t xml:space="preserve">, its mandate was framed primarily in terms of </w:t>
      </w:r>
      <w:r w:rsidR="00D211A1">
        <w:rPr>
          <w:rStyle w:val="hps"/>
          <w:rFonts w:ascii="Arial" w:hAnsi="Arial" w:cs="Arial"/>
          <w:color w:val="222222"/>
        </w:rPr>
        <w:t xml:space="preserve">securing </w:t>
      </w:r>
      <w:r w:rsidR="009547B8">
        <w:rPr>
          <w:rStyle w:val="hps"/>
          <w:rFonts w:ascii="Arial" w:hAnsi="Arial" w:cs="Arial"/>
          <w:color w:val="222222"/>
        </w:rPr>
        <w:t>energy independence</w:t>
      </w:r>
      <w:r w:rsidR="005725A6">
        <w:rPr>
          <w:rStyle w:val="hps"/>
          <w:rFonts w:ascii="Arial" w:hAnsi="Arial" w:cs="Arial"/>
          <w:color w:val="222222"/>
        </w:rPr>
        <w:t>, but taking into account other objectives including</w:t>
      </w:r>
      <w:r w:rsidR="004D79B8">
        <w:rPr>
          <w:rStyle w:val="hps"/>
          <w:rFonts w:ascii="Arial" w:hAnsi="Arial" w:cs="Arial"/>
          <w:color w:val="222222"/>
        </w:rPr>
        <w:t>,</w:t>
      </w:r>
      <w:r w:rsidR="005725A6">
        <w:rPr>
          <w:rStyle w:val="hps"/>
          <w:rFonts w:ascii="Arial" w:hAnsi="Arial" w:cs="Arial"/>
          <w:color w:val="222222"/>
        </w:rPr>
        <w:t xml:space="preserve"> reductions in greenhouse gas emissions, </w:t>
      </w:r>
      <w:r w:rsidR="004D79B8">
        <w:rPr>
          <w:rStyle w:val="hps"/>
          <w:rFonts w:ascii="Arial" w:hAnsi="Arial" w:cs="Arial"/>
          <w:color w:val="222222"/>
        </w:rPr>
        <w:t xml:space="preserve">and </w:t>
      </w:r>
      <w:r w:rsidR="005725A6">
        <w:rPr>
          <w:rStyle w:val="hps"/>
          <w:rFonts w:ascii="Arial" w:hAnsi="Arial" w:cs="Arial"/>
          <w:color w:val="222222"/>
        </w:rPr>
        <w:t>increas</w:t>
      </w:r>
      <w:r w:rsidR="0059005A">
        <w:rPr>
          <w:rStyle w:val="hps"/>
          <w:rFonts w:ascii="Arial" w:hAnsi="Arial" w:cs="Arial"/>
          <w:color w:val="222222"/>
        </w:rPr>
        <w:t xml:space="preserve">ing the </w:t>
      </w:r>
      <w:r w:rsidR="005725A6">
        <w:rPr>
          <w:rStyle w:val="hps"/>
          <w:rFonts w:ascii="Arial" w:hAnsi="Arial" w:cs="Arial"/>
          <w:color w:val="222222"/>
        </w:rPr>
        <w:t xml:space="preserve">share of renewable energy sources </w:t>
      </w:r>
      <w:r w:rsidR="0059005A">
        <w:rPr>
          <w:rStyle w:val="hps"/>
          <w:rFonts w:ascii="Arial" w:hAnsi="Arial" w:cs="Arial"/>
          <w:color w:val="222222"/>
        </w:rPr>
        <w:t>while</w:t>
      </w:r>
      <w:r w:rsidR="005725A6">
        <w:rPr>
          <w:rStyle w:val="hps"/>
          <w:rFonts w:ascii="Arial" w:hAnsi="Arial" w:cs="Arial"/>
          <w:color w:val="222222"/>
        </w:rPr>
        <w:t xml:space="preserve"> containing socio-economic costs</w:t>
      </w:r>
      <w:r w:rsidR="009547B8">
        <w:rPr>
          <w:rStyle w:val="hps"/>
          <w:rFonts w:ascii="Arial" w:hAnsi="Arial" w:cs="Arial"/>
          <w:color w:val="222222"/>
        </w:rPr>
        <w:t xml:space="preserve"> (Klimakommissionen; interviews).</w:t>
      </w:r>
      <w:r w:rsidR="005725A6" w:rsidRPr="0033582C">
        <w:rPr>
          <w:rStyle w:val="hps"/>
          <w:rFonts w:ascii="Arial" w:hAnsi="Arial" w:cs="Arial"/>
        </w:rPr>
        <w:t>Moreover, t</w:t>
      </w:r>
      <w:r w:rsidR="006E7153" w:rsidRPr="0033582C">
        <w:rPr>
          <w:rStyle w:val="hps"/>
          <w:rFonts w:ascii="Arial" w:hAnsi="Arial" w:cs="Arial"/>
        </w:rPr>
        <w:t>he</w:t>
      </w:r>
      <w:r w:rsidR="00603484">
        <w:rPr>
          <w:rStyle w:val="hps"/>
          <w:rFonts w:ascii="Arial" w:hAnsi="Arial" w:cs="Arial"/>
        </w:rPr>
        <w:t>C</w:t>
      </w:r>
      <w:r w:rsidR="002445BA">
        <w:rPr>
          <w:rStyle w:val="hps"/>
          <w:rFonts w:ascii="Arial" w:hAnsi="Arial" w:cs="Arial"/>
        </w:rPr>
        <w:t xml:space="preserve">ommission’s </w:t>
      </w:r>
      <w:r w:rsidR="005725A6" w:rsidRPr="0033582C">
        <w:rPr>
          <w:rStyle w:val="hps"/>
          <w:rFonts w:ascii="Arial" w:hAnsi="Arial" w:cs="Arial"/>
        </w:rPr>
        <w:t xml:space="preserve">proposals had to reflect </w:t>
      </w:r>
      <w:r w:rsidR="007C0DD5" w:rsidRPr="0033582C">
        <w:rPr>
          <w:rStyle w:val="hps"/>
          <w:rFonts w:ascii="Arial" w:hAnsi="Arial" w:cs="Arial"/>
        </w:rPr>
        <w:t>the EU energy policy framework</w:t>
      </w:r>
      <w:r w:rsidR="0059005A">
        <w:rPr>
          <w:rStyle w:val="hps"/>
          <w:rFonts w:ascii="Arial" w:hAnsi="Arial" w:cs="Arial"/>
        </w:rPr>
        <w:t xml:space="preserve">. </w:t>
      </w:r>
    </w:p>
    <w:p w:rsidR="00603484" w:rsidRDefault="00603484" w:rsidP="005158B5">
      <w:pPr>
        <w:spacing w:line="480" w:lineRule="auto"/>
        <w:jc w:val="both"/>
        <w:rPr>
          <w:rStyle w:val="hps"/>
          <w:rFonts w:ascii="Arial" w:hAnsi="Arial" w:cs="Arial"/>
        </w:rPr>
      </w:pPr>
    </w:p>
    <w:p w:rsidR="00FF17FB" w:rsidRPr="0033582C" w:rsidRDefault="00AE60CB" w:rsidP="005158B5">
      <w:pPr>
        <w:spacing w:line="480" w:lineRule="auto"/>
        <w:jc w:val="both"/>
        <w:rPr>
          <w:rFonts w:ascii="Arial" w:hAnsi="Arial" w:cs="Arial"/>
        </w:rPr>
      </w:pPr>
      <w:r w:rsidRPr="0033582C">
        <w:rPr>
          <w:rStyle w:val="hps"/>
          <w:rFonts w:ascii="Arial" w:hAnsi="Arial" w:cs="Arial"/>
        </w:rPr>
        <w:t>In the fall of 2010</w:t>
      </w:r>
      <w:r w:rsidR="007C0DD5" w:rsidRPr="0033582C">
        <w:rPr>
          <w:rStyle w:val="hps"/>
          <w:rFonts w:ascii="Arial" w:hAnsi="Arial" w:cs="Arial"/>
        </w:rPr>
        <w:t xml:space="preserve">the Commission </w:t>
      </w:r>
      <w:r w:rsidR="006F7F9C" w:rsidRPr="0033582C">
        <w:rPr>
          <w:rStyle w:val="hps"/>
          <w:rFonts w:ascii="Arial" w:hAnsi="Arial" w:cs="Arial"/>
        </w:rPr>
        <w:t xml:space="preserve">produced </w:t>
      </w:r>
      <w:r w:rsidR="007C0DD5" w:rsidRPr="0033582C">
        <w:rPr>
          <w:rStyle w:val="hps"/>
          <w:rFonts w:ascii="Arial" w:hAnsi="Arial" w:cs="Arial"/>
        </w:rPr>
        <w:t>40 recommendations</w:t>
      </w:r>
      <w:r w:rsidR="0030449B" w:rsidRPr="0033582C">
        <w:rPr>
          <w:rStyle w:val="hps"/>
          <w:rFonts w:ascii="Arial" w:hAnsi="Arial" w:cs="Arial"/>
        </w:rPr>
        <w:t>,</w:t>
      </w:r>
      <w:r w:rsidR="0004129C">
        <w:rPr>
          <w:rStyle w:val="hps"/>
          <w:rFonts w:ascii="Arial" w:hAnsi="Arial" w:cs="Arial"/>
        </w:rPr>
        <w:t xml:space="preserve"> </w:t>
      </w:r>
      <w:r w:rsidR="007C0DD5" w:rsidRPr="0033582C">
        <w:rPr>
          <w:rStyle w:val="hps"/>
          <w:rFonts w:ascii="Arial" w:hAnsi="Arial" w:cs="Arial"/>
        </w:rPr>
        <w:t xml:space="preserve">based on a large body of scientific background analyses and modelling exercises. </w:t>
      </w:r>
      <w:r w:rsidR="00603484">
        <w:rPr>
          <w:rStyle w:val="hps"/>
          <w:rFonts w:ascii="Arial" w:hAnsi="Arial" w:cs="Arial"/>
        </w:rPr>
        <w:t>The C</w:t>
      </w:r>
      <w:r w:rsidR="003D54CA" w:rsidRPr="0033582C">
        <w:rPr>
          <w:rStyle w:val="hps"/>
          <w:rFonts w:ascii="Arial" w:hAnsi="Arial" w:cs="Arial"/>
        </w:rPr>
        <w:t xml:space="preserve">ommission concluded that the objectives of a fossil-free energy system and significant CO2 reductions could be achieved at a relatively low cost and primarily through </w:t>
      </w:r>
      <w:r w:rsidR="0061136F" w:rsidRPr="0033582C">
        <w:rPr>
          <w:rStyle w:val="hps"/>
          <w:rFonts w:ascii="Arial" w:hAnsi="Arial" w:cs="Arial"/>
        </w:rPr>
        <w:t xml:space="preserve">promotion of renewable energy and increased energy efficiency. </w:t>
      </w:r>
      <w:r w:rsidR="0030449B" w:rsidRPr="0033582C">
        <w:rPr>
          <w:rStyle w:val="hps"/>
          <w:rFonts w:ascii="Arial" w:hAnsi="Arial" w:cs="Arial"/>
        </w:rPr>
        <w:t xml:space="preserve">The recommendations set the course </w:t>
      </w:r>
      <w:r w:rsidR="006E7153" w:rsidRPr="0033582C">
        <w:rPr>
          <w:rStyle w:val="hps"/>
          <w:rFonts w:ascii="Arial" w:hAnsi="Arial" w:cs="Arial"/>
        </w:rPr>
        <w:t>towards</w:t>
      </w:r>
      <w:r w:rsidR="0004129C">
        <w:rPr>
          <w:rStyle w:val="hps"/>
          <w:rFonts w:ascii="Arial" w:hAnsi="Arial" w:cs="Arial"/>
        </w:rPr>
        <w:t xml:space="preserve"> </w:t>
      </w:r>
      <w:r w:rsidR="00E81694" w:rsidRPr="0033582C">
        <w:rPr>
          <w:rStyle w:val="hps"/>
          <w:rFonts w:ascii="Arial" w:hAnsi="Arial" w:cs="Arial"/>
        </w:rPr>
        <w:t xml:space="preserve">the 2050 objective of </w:t>
      </w:r>
      <w:r w:rsidR="0059005A">
        <w:rPr>
          <w:rStyle w:val="hps"/>
          <w:rFonts w:ascii="Arial" w:hAnsi="Arial" w:cs="Arial"/>
        </w:rPr>
        <w:t xml:space="preserve">an </w:t>
      </w:r>
      <w:r w:rsidR="009C549C" w:rsidRPr="0033582C">
        <w:rPr>
          <w:rStyle w:val="hps"/>
          <w:rFonts w:ascii="Arial" w:hAnsi="Arial" w:cs="Arial"/>
        </w:rPr>
        <w:t xml:space="preserve">energy system independent of </w:t>
      </w:r>
      <w:r w:rsidR="0030449B" w:rsidRPr="0033582C">
        <w:rPr>
          <w:rStyle w:val="hps"/>
          <w:rFonts w:ascii="Arial" w:hAnsi="Arial" w:cs="Arial"/>
        </w:rPr>
        <w:t>fossil</w:t>
      </w:r>
      <w:r w:rsidR="009C549C" w:rsidRPr="0033582C">
        <w:rPr>
          <w:rStyle w:val="hps"/>
          <w:rFonts w:ascii="Arial" w:hAnsi="Arial" w:cs="Arial"/>
        </w:rPr>
        <w:t xml:space="preserve"> fuels.</w:t>
      </w:r>
      <w:r w:rsidR="0004129C">
        <w:rPr>
          <w:rStyle w:val="hps"/>
          <w:rFonts w:ascii="Arial" w:hAnsi="Arial" w:cs="Arial"/>
        </w:rPr>
        <w:t xml:space="preserve"> </w:t>
      </w:r>
      <w:r w:rsidR="00E94473" w:rsidRPr="0033582C">
        <w:rPr>
          <w:rStyle w:val="hps"/>
          <w:rFonts w:ascii="Arial" w:hAnsi="Arial" w:cs="Arial"/>
        </w:rPr>
        <w:t>Specific recommendations included a uniform tax on fossil fuels to improve energy efficiency and to</w:t>
      </w:r>
      <w:r w:rsidR="009C53F1">
        <w:rPr>
          <w:rStyle w:val="hps"/>
          <w:rFonts w:ascii="Arial" w:hAnsi="Arial" w:cs="Arial"/>
        </w:rPr>
        <w:t xml:space="preserve"> enable a</w:t>
      </w:r>
      <w:r w:rsidR="00E94473" w:rsidRPr="0033582C">
        <w:rPr>
          <w:rStyle w:val="hps"/>
          <w:rFonts w:ascii="Arial" w:hAnsi="Arial" w:cs="Arial"/>
        </w:rPr>
        <w:t xml:space="preserve"> switch to renewable energy sources</w:t>
      </w:r>
      <w:r w:rsidR="009C53F1">
        <w:rPr>
          <w:rStyle w:val="hps"/>
          <w:rFonts w:ascii="Arial" w:hAnsi="Arial" w:cs="Arial"/>
        </w:rPr>
        <w:t>. The C</w:t>
      </w:r>
      <w:r w:rsidR="00E81694" w:rsidRPr="0033582C">
        <w:rPr>
          <w:rStyle w:val="hps"/>
          <w:rFonts w:ascii="Arial" w:hAnsi="Arial" w:cs="Arial"/>
        </w:rPr>
        <w:t xml:space="preserve">ommission also emphasized the need for a firm and predictable energy policy course, including a </w:t>
      </w:r>
      <w:r w:rsidR="00E94473" w:rsidRPr="0033582C">
        <w:rPr>
          <w:rStyle w:val="hps"/>
          <w:rFonts w:ascii="Arial" w:hAnsi="Arial" w:cs="Arial"/>
        </w:rPr>
        <w:t xml:space="preserve">political </w:t>
      </w:r>
      <w:r w:rsidR="00E81694" w:rsidRPr="0033582C">
        <w:rPr>
          <w:rStyle w:val="hps"/>
          <w:rFonts w:ascii="Arial" w:hAnsi="Arial" w:cs="Arial"/>
        </w:rPr>
        <w:t>declaration on gra</w:t>
      </w:r>
      <w:r w:rsidR="00677277" w:rsidRPr="0033582C">
        <w:rPr>
          <w:rStyle w:val="hps"/>
          <w:rFonts w:ascii="Arial" w:hAnsi="Arial" w:cs="Arial"/>
        </w:rPr>
        <w:t xml:space="preserve">dual </w:t>
      </w:r>
      <w:r w:rsidR="00E94473" w:rsidRPr="0033582C">
        <w:rPr>
          <w:rStyle w:val="hps"/>
          <w:rFonts w:ascii="Arial" w:hAnsi="Arial" w:cs="Arial"/>
        </w:rPr>
        <w:t xml:space="preserve">energy tax increases </w:t>
      </w:r>
      <w:r w:rsidR="00677277" w:rsidRPr="0033582C">
        <w:rPr>
          <w:rStyle w:val="hps"/>
          <w:rFonts w:ascii="Arial" w:hAnsi="Arial" w:cs="Arial"/>
        </w:rPr>
        <w:t xml:space="preserve">to the level </w:t>
      </w:r>
      <w:r w:rsidR="00E94473" w:rsidRPr="0033582C">
        <w:rPr>
          <w:rStyle w:val="hps"/>
          <w:rFonts w:ascii="Arial" w:hAnsi="Arial" w:cs="Arial"/>
        </w:rPr>
        <w:t>necessar</w:t>
      </w:r>
      <w:r w:rsidR="00677277" w:rsidRPr="0033582C">
        <w:rPr>
          <w:rStyle w:val="hps"/>
          <w:rFonts w:ascii="Arial" w:hAnsi="Arial" w:cs="Arial"/>
        </w:rPr>
        <w:t xml:space="preserve">y to achieve the policy objectives. </w:t>
      </w:r>
      <w:r w:rsidR="007B6668">
        <w:rPr>
          <w:rStyle w:val="hps"/>
          <w:rFonts w:ascii="Arial" w:hAnsi="Arial" w:cs="Arial"/>
        </w:rPr>
        <w:t xml:space="preserve">These included a considerable expansion of renewable energy, particularly offshore wind power.  </w:t>
      </w:r>
      <w:r w:rsidR="00FF17FB" w:rsidRPr="0033582C">
        <w:rPr>
          <w:rFonts w:ascii="Arial" w:hAnsi="Arial" w:cs="Arial"/>
        </w:rPr>
        <w:t>Th</w:t>
      </w:r>
      <w:r w:rsidR="00B96322" w:rsidRPr="0033582C">
        <w:rPr>
          <w:rFonts w:ascii="Arial" w:hAnsi="Arial" w:cs="Arial"/>
        </w:rPr>
        <w:t>e Climate Commission</w:t>
      </w:r>
      <w:r w:rsidR="004F2BE4" w:rsidRPr="0033582C">
        <w:rPr>
          <w:rFonts w:ascii="Arial" w:hAnsi="Arial" w:cs="Arial"/>
        </w:rPr>
        <w:t>’s</w:t>
      </w:r>
      <w:r w:rsidR="00B96322" w:rsidRPr="0033582C">
        <w:rPr>
          <w:rFonts w:ascii="Arial" w:hAnsi="Arial" w:cs="Arial"/>
        </w:rPr>
        <w:t xml:space="preserve"> report </w:t>
      </w:r>
      <w:r w:rsidR="00FF17FB" w:rsidRPr="0033582C">
        <w:rPr>
          <w:rFonts w:ascii="Arial" w:hAnsi="Arial" w:cs="Arial"/>
        </w:rPr>
        <w:t>was followed</w:t>
      </w:r>
      <w:r w:rsidR="00D40DD1">
        <w:rPr>
          <w:rFonts w:ascii="Arial" w:hAnsi="Arial" w:cs="Arial"/>
        </w:rPr>
        <w:t xml:space="preserve"> </w:t>
      </w:r>
      <w:r w:rsidR="00FF17FB" w:rsidRPr="0033582C">
        <w:rPr>
          <w:rFonts w:ascii="Arial" w:hAnsi="Arial" w:cs="Arial"/>
        </w:rPr>
        <w:t xml:space="preserve">by a Government </w:t>
      </w:r>
      <w:r w:rsidR="00EF4DB5" w:rsidRPr="0033582C">
        <w:rPr>
          <w:rFonts w:ascii="Arial" w:hAnsi="Arial" w:cs="Arial"/>
        </w:rPr>
        <w:t xml:space="preserve">strategy </w:t>
      </w:r>
      <w:r w:rsidR="00FF17FB" w:rsidRPr="0033582C">
        <w:rPr>
          <w:rFonts w:ascii="Arial" w:hAnsi="Arial" w:cs="Arial"/>
        </w:rPr>
        <w:t>entitled ‘Energy Strategy 2050’ published in February 2011</w:t>
      </w:r>
      <w:r w:rsidR="00AE62AE" w:rsidRPr="0033582C">
        <w:rPr>
          <w:rFonts w:ascii="Arial" w:hAnsi="Arial" w:cs="Arial"/>
        </w:rPr>
        <w:t>(</w:t>
      </w:r>
      <w:r w:rsidR="0023382A" w:rsidRPr="0033582C">
        <w:rPr>
          <w:rFonts w:ascii="Arial" w:hAnsi="Arial" w:cs="Arial"/>
        </w:rPr>
        <w:t>Klima- og</w:t>
      </w:r>
      <w:r w:rsidR="00D40DD1">
        <w:rPr>
          <w:rFonts w:ascii="Arial" w:hAnsi="Arial" w:cs="Arial"/>
        </w:rPr>
        <w:t xml:space="preserve"> </w:t>
      </w:r>
      <w:r w:rsidR="0023382A" w:rsidRPr="0033582C">
        <w:rPr>
          <w:rFonts w:ascii="Arial" w:hAnsi="Arial" w:cs="Arial"/>
        </w:rPr>
        <w:t>Energi</w:t>
      </w:r>
      <w:r w:rsidR="00AD478E">
        <w:rPr>
          <w:rFonts w:ascii="Arial" w:hAnsi="Arial" w:cs="Arial"/>
        </w:rPr>
        <w:t>-</w:t>
      </w:r>
      <w:r w:rsidR="0023382A" w:rsidRPr="0033582C">
        <w:rPr>
          <w:rFonts w:ascii="Arial" w:hAnsi="Arial" w:cs="Arial"/>
        </w:rPr>
        <w:t>ministeriet 2011</w:t>
      </w:r>
      <w:r w:rsidR="00AE62AE" w:rsidRPr="0033582C">
        <w:rPr>
          <w:rFonts w:ascii="Arial" w:hAnsi="Arial" w:cs="Arial"/>
        </w:rPr>
        <w:t>)</w:t>
      </w:r>
      <w:r w:rsidR="00FF17FB" w:rsidRPr="0033582C">
        <w:rPr>
          <w:rFonts w:ascii="Arial" w:hAnsi="Arial" w:cs="Arial"/>
        </w:rPr>
        <w:t xml:space="preserve">. </w:t>
      </w:r>
      <w:r w:rsidR="0084634F" w:rsidRPr="0033582C">
        <w:rPr>
          <w:rFonts w:ascii="Arial" w:hAnsi="Arial" w:cs="Arial"/>
        </w:rPr>
        <w:t xml:space="preserve">Proclaiming </w:t>
      </w:r>
      <w:r w:rsidR="00A1441E" w:rsidRPr="0033582C">
        <w:rPr>
          <w:rFonts w:ascii="Arial" w:hAnsi="Arial" w:cs="Arial"/>
        </w:rPr>
        <w:t xml:space="preserve">alignment with the </w:t>
      </w:r>
      <w:r w:rsidR="0084634F" w:rsidRPr="0033582C">
        <w:rPr>
          <w:rFonts w:ascii="Arial" w:hAnsi="Arial" w:cs="Arial"/>
        </w:rPr>
        <w:t xml:space="preserve">approach of the Climate Commission, the strategy </w:t>
      </w:r>
      <w:r w:rsidR="00FF17FB" w:rsidRPr="0033582C">
        <w:rPr>
          <w:rFonts w:ascii="Arial" w:hAnsi="Arial" w:cs="Arial"/>
        </w:rPr>
        <w:t xml:space="preserve">set out </w:t>
      </w:r>
      <w:r w:rsidR="0084634F" w:rsidRPr="0033582C">
        <w:rPr>
          <w:rFonts w:ascii="Arial" w:hAnsi="Arial" w:cs="Arial"/>
        </w:rPr>
        <w:t>initiatives projected to reduce</w:t>
      </w:r>
      <w:r w:rsidR="00FF17FB" w:rsidRPr="0033582C">
        <w:rPr>
          <w:rFonts w:ascii="Arial" w:hAnsi="Arial" w:cs="Arial"/>
        </w:rPr>
        <w:t xml:space="preserve"> fossil fuel use by 33 per cent of 2009 levels by 2020 and to increase </w:t>
      </w:r>
      <w:r w:rsidR="00EF4DB5" w:rsidRPr="0033582C">
        <w:rPr>
          <w:rFonts w:ascii="Arial" w:hAnsi="Arial" w:cs="Arial"/>
        </w:rPr>
        <w:t xml:space="preserve">the </w:t>
      </w:r>
      <w:r w:rsidR="00FF17FB" w:rsidRPr="0033582C">
        <w:rPr>
          <w:rFonts w:ascii="Arial" w:hAnsi="Arial" w:cs="Arial"/>
        </w:rPr>
        <w:t>share of renewable energy to 33 per cent</w:t>
      </w:r>
      <w:r w:rsidR="00AE62AE" w:rsidRPr="0033582C">
        <w:rPr>
          <w:rFonts w:ascii="Arial" w:hAnsi="Arial" w:cs="Arial"/>
        </w:rPr>
        <w:t xml:space="preserve"> of total energy</w:t>
      </w:r>
      <w:r w:rsidR="00FF17FB" w:rsidRPr="0033582C">
        <w:rPr>
          <w:rFonts w:ascii="Arial" w:hAnsi="Arial" w:cs="Arial"/>
        </w:rPr>
        <w:t>.</w:t>
      </w:r>
    </w:p>
    <w:p w:rsidR="009C53F1" w:rsidRDefault="009C53F1" w:rsidP="005158B5">
      <w:pPr>
        <w:spacing w:line="480" w:lineRule="auto"/>
        <w:jc w:val="both"/>
        <w:rPr>
          <w:rFonts w:ascii="Arial" w:hAnsi="Arial" w:cs="Arial"/>
        </w:rPr>
      </w:pPr>
    </w:p>
    <w:p w:rsidR="00A71CA9" w:rsidRDefault="00EF4DB5" w:rsidP="005158B5">
      <w:pPr>
        <w:spacing w:line="480" w:lineRule="auto"/>
        <w:jc w:val="both"/>
        <w:rPr>
          <w:rFonts w:ascii="Arial" w:hAnsi="Arial" w:cs="Arial"/>
        </w:rPr>
      </w:pPr>
      <w:r w:rsidRPr="0033582C">
        <w:rPr>
          <w:rFonts w:ascii="Arial" w:hAnsi="Arial" w:cs="Arial"/>
        </w:rPr>
        <w:t xml:space="preserve">Policy </w:t>
      </w:r>
      <w:r w:rsidR="0084634F" w:rsidRPr="0033582C">
        <w:rPr>
          <w:rFonts w:ascii="Arial" w:hAnsi="Arial" w:cs="Arial"/>
        </w:rPr>
        <w:t>discussions</w:t>
      </w:r>
      <w:r w:rsidR="00FF17FB" w:rsidRPr="0033582C">
        <w:rPr>
          <w:rFonts w:ascii="Arial" w:hAnsi="Arial" w:cs="Arial"/>
        </w:rPr>
        <w:t xml:space="preserve"> concerning a new renewable energy law </w:t>
      </w:r>
      <w:r w:rsidRPr="0033582C">
        <w:rPr>
          <w:rFonts w:ascii="Arial" w:hAnsi="Arial" w:cs="Arial"/>
        </w:rPr>
        <w:t>continued</w:t>
      </w:r>
      <w:r w:rsidR="009C549C" w:rsidRPr="0033582C">
        <w:rPr>
          <w:rFonts w:ascii="Arial" w:hAnsi="Arial" w:cs="Arial"/>
        </w:rPr>
        <w:t xml:space="preserve">, </w:t>
      </w:r>
      <w:r w:rsidR="00FF17FB" w:rsidRPr="0033582C">
        <w:rPr>
          <w:rFonts w:ascii="Arial" w:hAnsi="Arial" w:cs="Arial"/>
        </w:rPr>
        <w:t>cut</w:t>
      </w:r>
      <w:r w:rsidR="0084634F" w:rsidRPr="0033582C">
        <w:rPr>
          <w:rFonts w:ascii="Arial" w:hAnsi="Arial" w:cs="Arial"/>
        </w:rPr>
        <w:t>ting</w:t>
      </w:r>
      <w:r w:rsidR="00FF17FB" w:rsidRPr="0033582C">
        <w:rPr>
          <w:rFonts w:ascii="Arial" w:hAnsi="Arial" w:cs="Arial"/>
        </w:rPr>
        <w:t xml:space="preserve"> across the General Election of September 2011. A consensus was reached </w:t>
      </w:r>
      <w:r w:rsidR="00C738A1" w:rsidRPr="0033582C">
        <w:rPr>
          <w:rFonts w:ascii="Arial" w:hAnsi="Arial" w:cs="Arial"/>
        </w:rPr>
        <w:t xml:space="preserve">in March 2012 </w:t>
      </w:r>
      <w:r w:rsidR="00FF17FB" w:rsidRPr="0033582C">
        <w:rPr>
          <w:rFonts w:ascii="Arial" w:hAnsi="Arial" w:cs="Arial"/>
        </w:rPr>
        <w:t>among all the parties represented in the Danish Parliament with the exception of the Liberal Alliance</w:t>
      </w:r>
      <w:r w:rsidR="00E00696" w:rsidRPr="0033582C">
        <w:rPr>
          <w:rFonts w:ascii="Arial" w:hAnsi="Arial" w:cs="Arial"/>
        </w:rPr>
        <w:t>, that is 17</w:t>
      </w:r>
      <w:r w:rsidR="00B12C22">
        <w:rPr>
          <w:rFonts w:ascii="Arial" w:hAnsi="Arial" w:cs="Arial"/>
        </w:rPr>
        <w:t>0</w:t>
      </w:r>
      <w:r w:rsidR="00E00696" w:rsidRPr="0033582C">
        <w:rPr>
          <w:rFonts w:ascii="Arial" w:hAnsi="Arial" w:cs="Arial"/>
        </w:rPr>
        <w:t xml:space="preserve"> out of 179 MPs (</w:t>
      </w:r>
      <w:r w:rsidR="00C738A1" w:rsidRPr="0033582C">
        <w:rPr>
          <w:rFonts w:ascii="Arial" w:hAnsi="Arial" w:cs="Arial"/>
        </w:rPr>
        <w:t>Energiaftalen 22. marts 2012</w:t>
      </w:r>
      <w:r w:rsidR="00E00696" w:rsidRPr="0033582C">
        <w:rPr>
          <w:rFonts w:ascii="Arial" w:hAnsi="Arial" w:cs="Arial"/>
        </w:rPr>
        <w:t>)</w:t>
      </w:r>
      <w:r w:rsidR="00FF17FB" w:rsidRPr="0033582C">
        <w:rPr>
          <w:rFonts w:ascii="Arial" w:hAnsi="Arial" w:cs="Arial"/>
        </w:rPr>
        <w:t xml:space="preserve">.The </w:t>
      </w:r>
      <w:r w:rsidR="00C738A1" w:rsidRPr="0033582C">
        <w:rPr>
          <w:rFonts w:ascii="Arial" w:hAnsi="Arial" w:cs="Arial"/>
        </w:rPr>
        <w:t>agreement</w:t>
      </w:r>
      <w:r w:rsidR="0084634F" w:rsidRPr="0033582C">
        <w:rPr>
          <w:rFonts w:ascii="Arial" w:hAnsi="Arial" w:cs="Arial"/>
        </w:rPr>
        <w:t>,</w:t>
      </w:r>
      <w:r w:rsidR="001C23F0" w:rsidRPr="0033582C">
        <w:rPr>
          <w:rFonts w:ascii="Arial" w:hAnsi="Arial" w:cs="Arial"/>
        </w:rPr>
        <w:t xml:space="preserve"> which </w:t>
      </w:r>
      <w:r w:rsidR="0084634F" w:rsidRPr="0033582C">
        <w:rPr>
          <w:rFonts w:ascii="Arial" w:hAnsi="Arial" w:cs="Arial"/>
        </w:rPr>
        <w:t xml:space="preserve">covers the period </w:t>
      </w:r>
      <w:r w:rsidR="001C23F0" w:rsidRPr="0033582C">
        <w:rPr>
          <w:rFonts w:ascii="Arial" w:hAnsi="Arial" w:cs="Arial"/>
        </w:rPr>
        <w:t>until 2020</w:t>
      </w:r>
      <w:r w:rsidR="00051184" w:rsidRPr="0033582C">
        <w:rPr>
          <w:rFonts w:ascii="Arial" w:hAnsi="Arial" w:cs="Arial"/>
        </w:rPr>
        <w:t>,</w:t>
      </w:r>
      <w:r w:rsidR="0084634F" w:rsidRPr="0033582C">
        <w:rPr>
          <w:rFonts w:ascii="Arial" w:hAnsi="Arial" w:cs="Arial"/>
        </w:rPr>
        <w:t>offered</w:t>
      </w:r>
      <w:r w:rsidR="00FF17FB" w:rsidRPr="0033582C">
        <w:rPr>
          <w:rFonts w:ascii="Arial" w:hAnsi="Arial" w:cs="Arial"/>
        </w:rPr>
        <w:t xml:space="preserve"> new incentives for onshore and offshore wind power</w:t>
      </w:r>
      <w:r w:rsidR="00B12C22">
        <w:rPr>
          <w:rFonts w:ascii="Arial" w:hAnsi="Arial" w:cs="Arial"/>
        </w:rPr>
        <w:t>,</w:t>
      </w:r>
      <w:r w:rsidR="00FF17FB" w:rsidRPr="0033582C">
        <w:rPr>
          <w:rFonts w:ascii="Arial" w:hAnsi="Arial" w:cs="Arial"/>
        </w:rPr>
        <w:t xml:space="preserve"> solar power and other renewable energy fuels</w:t>
      </w:r>
      <w:r w:rsidR="001C23F0" w:rsidRPr="0033582C">
        <w:rPr>
          <w:rFonts w:ascii="Arial" w:hAnsi="Arial" w:cs="Arial"/>
        </w:rPr>
        <w:t xml:space="preserve"> (Act </w:t>
      </w:r>
      <w:r w:rsidR="000A1BC8" w:rsidRPr="0033582C">
        <w:rPr>
          <w:rFonts w:ascii="Arial" w:hAnsi="Arial" w:cs="Arial"/>
        </w:rPr>
        <w:t>no. 576 of 18</w:t>
      </w:r>
      <w:r w:rsidR="00444826" w:rsidRPr="0033582C">
        <w:rPr>
          <w:rFonts w:ascii="Arial" w:hAnsi="Arial" w:cs="Arial"/>
          <w:vertAlign w:val="superscript"/>
        </w:rPr>
        <w:t>th</w:t>
      </w:r>
      <w:r w:rsidR="000A1BC8" w:rsidRPr="0033582C">
        <w:rPr>
          <w:rFonts w:ascii="Arial" w:hAnsi="Arial" w:cs="Arial"/>
        </w:rPr>
        <w:t xml:space="preserve"> June 2012 and Consolidation Act no. 1330 of 25</w:t>
      </w:r>
      <w:r w:rsidR="00444826" w:rsidRPr="0033582C">
        <w:rPr>
          <w:rFonts w:ascii="Arial" w:hAnsi="Arial" w:cs="Arial"/>
          <w:vertAlign w:val="superscript"/>
        </w:rPr>
        <w:t>th</w:t>
      </w:r>
      <w:r w:rsidR="000A1BC8" w:rsidRPr="0033582C">
        <w:rPr>
          <w:rFonts w:ascii="Arial" w:hAnsi="Arial" w:cs="Arial"/>
        </w:rPr>
        <w:t xml:space="preserve"> November 2013</w:t>
      </w:r>
      <w:r w:rsidR="004F2BE4" w:rsidRPr="0033582C">
        <w:rPr>
          <w:rFonts w:ascii="Arial" w:hAnsi="Arial" w:cs="Arial"/>
        </w:rPr>
        <w:t>)</w:t>
      </w:r>
      <w:r w:rsidR="000A1BC8" w:rsidRPr="0033582C">
        <w:rPr>
          <w:rFonts w:ascii="Arial" w:hAnsi="Arial" w:cs="Arial"/>
        </w:rPr>
        <w:t>.</w:t>
      </w:r>
      <w:r w:rsidR="00BC59C7" w:rsidRPr="0033582C">
        <w:rPr>
          <w:rFonts w:ascii="Arial" w:hAnsi="Arial" w:cs="Arial"/>
        </w:rPr>
        <w:t xml:space="preserve">The aim is to have 50 per cent of Danish electricity generated from wind power by 2020. This will be supplemented in the renewable energy sphere by biomass, particularly biogas. </w:t>
      </w:r>
      <w:r w:rsidR="008C23FC">
        <w:rPr>
          <w:rFonts w:ascii="Arial" w:hAnsi="Arial" w:cs="Arial"/>
        </w:rPr>
        <w:t xml:space="preserve">A public consultation on the proposal prompted relatively scant public debate; a </w:t>
      </w:r>
      <w:r w:rsidR="002D6AB9" w:rsidRPr="0033582C">
        <w:rPr>
          <w:rFonts w:ascii="Arial" w:hAnsi="Arial" w:cs="Arial"/>
        </w:rPr>
        <w:t xml:space="preserve">total of </w:t>
      </w:r>
      <w:r w:rsidR="00F73E1C">
        <w:rPr>
          <w:rFonts w:ascii="Arial" w:hAnsi="Arial" w:cs="Arial"/>
        </w:rPr>
        <w:t>40</w:t>
      </w:r>
      <w:r w:rsidR="002D6AB9" w:rsidRPr="0033582C">
        <w:rPr>
          <w:rFonts w:ascii="Arial" w:hAnsi="Arial" w:cs="Arial"/>
        </w:rPr>
        <w:t xml:space="preserve"> organisations commented on the proposal during the public consultation</w:t>
      </w:r>
      <w:r w:rsidR="00FD3EE8" w:rsidRPr="0033582C">
        <w:rPr>
          <w:rFonts w:ascii="Arial" w:hAnsi="Arial" w:cs="Arial"/>
        </w:rPr>
        <w:t xml:space="preserve">, mainly </w:t>
      </w:r>
      <w:r w:rsidR="00D211A1" w:rsidRPr="0033582C">
        <w:rPr>
          <w:rFonts w:ascii="Arial" w:hAnsi="Arial" w:cs="Arial"/>
        </w:rPr>
        <w:t>b</w:t>
      </w:r>
      <w:r w:rsidR="00FD3EE8" w:rsidRPr="0033582C">
        <w:rPr>
          <w:rFonts w:ascii="Arial" w:hAnsi="Arial" w:cs="Arial"/>
        </w:rPr>
        <w:t>usiness organisations and energy companies and organisations. (Energistyrelsen 2012)</w:t>
      </w:r>
      <w:r w:rsidR="00A32517" w:rsidRPr="0033582C">
        <w:rPr>
          <w:rFonts w:ascii="Arial" w:hAnsi="Arial" w:cs="Arial"/>
        </w:rPr>
        <w:t>.</w:t>
      </w:r>
      <w:r w:rsidR="00FF17FB" w:rsidRPr="0033582C">
        <w:rPr>
          <w:rFonts w:ascii="Arial" w:hAnsi="Arial" w:cs="Arial"/>
        </w:rPr>
        <w:t>The main discussion</w:t>
      </w:r>
      <w:r w:rsidR="00F73E1C">
        <w:rPr>
          <w:rFonts w:ascii="Arial" w:hAnsi="Arial" w:cs="Arial"/>
        </w:rPr>
        <w:t>s</w:t>
      </w:r>
      <w:r w:rsidR="00FF17FB" w:rsidRPr="0033582C">
        <w:rPr>
          <w:rFonts w:ascii="Arial" w:hAnsi="Arial" w:cs="Arial"/>
        </w:rPr>
        <w:t xml:space="preserve"> had already been held earlier </w:t>
      </w:r>
      <w:r w:rsidR="00761C6C">
        <w:rPr>
          <w:rFonts w:ascii="Arial" w:hAnsi="Arial" w:cs="Arial"/>
        </w:rPr>
        <w:t xml:space="preserve"> in the run-up to the cross party agreement between Government and opposition that preceded the legislation passed in 2012. These discussions included</w:t>
      </w:r>
      <w:r w:rsidR="00FF17FB" w:rsidRPr="0033582C">
        <w:rPr>
          <w:rFonts w:ascii="Arial" w:hAnsi="Arial" w:cs="Arial"/>
        </w:rPr>
        <w:t xml:space="preserve"> the politicians and the industrial interest groups concerned with renewable energy and electricity companies</w:t>
      </w:r>
      <w:r w:rsidR="00B12C22">
        <w:rPr>
          <w:rFonts w:ascii="Arial" w:hAnsi="Arial" w:cs="Arial"/>
        </w:rPr>
        <w:t xml:space="preserve"> (interview Danish Energy Association)</w:t>
      </w:r>
      <w:r w:rsidR="00FF17FB" w:rsidRPr="0033582C">
        <w:rPr>
          <w:rFonts w:ascii="Arial" w:hAnsi="Arial" w:cs="Arial"/>
        </w:rPr>
        <w:t xml:space="preserve">. </w:t>
      </w:r>
    </w:p>
    <w:p w:rsidR="00BE7DF2" w:rsidRDefault="00BE7DF2" w:rsidP="005158B5">
      <w:pPr>
        <w:spacing w:line="480" w:lineRule="auto"/>
        <w:jc w:val="both"/>
        <w:rPr>
          <w:rFonts w:ascii="Arial" w:hAnsi="Arial" w:cs="Arial"/>
        </w:rPr>
      </w:pPr>
    </w:p>
    <w:p w:rsidR="00016821" w:rsidRDefault="004C097D" w:rsidP="005158B5">
      <w:pPr>
        <w:spacing w:line="480" w:lineRule="auto"/>
        <w:jc w:val="both"/>
        <w:rPr>
          <w:rFonts w:ascii="Arial" w:hAnsi="Arial" w:cs="Arial"/>
        </w:rPr>
      </w:pPr>
      <w:r w:rsidRPr="0033582C">
        <w:rPr>
          <w:rFonts w:ascii="Arial" w:hAnsi="Arial" w:cs="Arial"/>
        </w:rPr>
        <w:t>The main trade associations, particularly the Danish Wind Energy Association (representing wind power developers) and the Danish Energy Association (representing the electricity production and distribution companies) lobbied the political parties prior to the agreement</w:t>
      </w:r>
      <w:r w:rsidR="00044E79" w:rsidRPr="0033582C">
        <w:rPr>
          <w:rFonts w:ascii="Arial" w:hAnsi="Arial" w:cs="Arial"/>
        </w:rPr>
        <w:t xml:space="preserve"> (interviews</w:t>
      </w:r>
      <w:r w:rsidR="008B2592" w:rsidRPr="0033582C">
        <w:rPr>
          <w:rFonts w:ascii="Arial" w:hAnsi="Arial" w:cs="Arial"/>
        </w:rPr>
        <w:t xml:space="preserve"> with representatives of the Danish Energy Association</w:t>
      </w:r>
      <w:r w:rsidR="00C532FC">
        <w:rPr>
          <w:rFonts w:ascii="Arial" w:hAnsi="Arial" w:cs="Arial"/>
        </w:rPr>
        <w:t xml:space="preserve"> </w:t>
      </w:r>
      <w:r w:rsidR="00BE7DF2">
        <w:rPr>
          <w:rFonts w:ascii="Arial" w:hAnsi="Arial" w:cs="Arial"/>
        </w:rPr>
        <w:t xml:space="preserve">and the Danish Wind Energy </w:t>
      </w:r>
      <w:r w:rsidR="008B2592" w:rsidRPr="0033582C">
        <w:rPr>
          <w:rFonts w:ascii="Arial" w:hAnsi="Arial" w:cs="Arial"/>
        </w:rPr>
        <w:t>Association</w:t>
      </w:r>
      <w:r w:rsidR="00044E79" w:rsidRPr="0033582C">
        <w:rPr>
          <w:rFonts w:ascii="Arial" w:hAnsi="Arial" w:cs="Arial"/>
        </w:rPr>
        <w:t>)</w:t>
      </w:r>
      <w:r w:rsidRPr="0033582C">
        <w:rPr>
          <w:rFonts w:ascii="Arial" w:hAnsi="Arial" w:cs="Arial"/>
        </w:rPr>
        <w:t>.</w:t>
      </w:r>
      <w:r w:rsidR="008B2592" w:rsidRPr="0033582C">
        <w:rPr>
          <w:rFonts w:ascii="Arial" w:hAnsi="Arial" w:cs="Arial"/>
        </w:rPr>
        <w:t xml:space="preserve">Other members of </w:t>
      </w:r>
      <w:r w:rsidR="000C12D2">
        <w:rPr>
          <w:rFonts w:ascii="Arial" w:hAnsi="Arial" w:cs="Arial"/>
        </w:rPr>
        <w:t xml:space="preserve">the </w:t>
      </w:r>
      <w:r w:rsidR="008B2592" w:rsidRPr="0033582C">
        <w:rPr>
          <w:rFonts w:ascii="Arial" w:hAnsi="Arial" w:cs="Arial"/>
        </w:rPr>
        <w:t xml:space="preserve"> policy community dealing with renewable</w:t>
      </w:r>
      <w:r w:rsidR="00C532FC">
        <w:rPr>
          <w:rFonts w:ascii="Arial" w:hAnsi="Arial" w:cs="Arial"/>
        </w:rPr>
        <w:t xml:space="preserve"> </w:t>
      </w:r>
      <w:r w:rsidR="008B2592" w:rsidRPr="0033582C">
        <w:rPr>
          <w:rFonts w:ascii="Arial" w:hAnsi="Arial" w:cs="Arial"/>
        </w:rPr>
        <w:t xml:space="preserve">energy include </w:t>
      </w:r>
      <w:r w:rsidR="000C12D2">
        <w:rPr>
          <w:rFonts w:ascii="Arial" w:hAnsi="Arial" w:cs="Arial"/>
        </w:rPr>
        <w:t>the Biogas Trade Association</w:t>
      </w:r>
      <w:r w:rsidR="008B2592" w:rsidRPr="0033582C">
        <w:rPr>
          <w:rFonts w:ascii="Arial" w:hAnsi="Arial" w:cs="Arial"/>
        </w:rPr>
        <w:t>, nature protection groups, academic institutes and DONG, the state owned oil and gas corporation</w:t>
      </w:r>
      <w:r w:rsidR="00567444">
        <w:rPr>
          <w:rFonts w:ascii="Arial" w:hAnsi="Arial" w:cs="Arial"/>
        </w:rPr>
        <w:t>,</w:t>
      </w:r>
      <w:r w:rsidR="008B2592" w:rsidRPr="0033582C">
        <w:rPr>
          <w:rFonts w:ascii="Arial" w:hAnsi="Arial" w:cs="Arial"/>
        </w:rPr>
        <w:t xml:space="preserve"> which has investments in renewable energy.</w:t>
      </w:r>
      <w:r w:rsidR="00016821" w:rsidRPr="0033582C">
        <w:rPr>
          <w:rFonts w:ascii="Arial" w:hAnsi="Arial" w:cs="Arial"/>
        </w:rPr>
        <w:t xml:space="preserve">The semi-autonomous Danish Energy Agency is influential in discussions about costs, incentive levels and modes of implementation. </w:t>
      </w:r>
      <w:r w:rsidR="00567444">
        <w:rPr>
          <w:rFonts w:ascii="Arial" w:hAnsi="Arial" w:cs="Arial"/>
        </w:rPr>
        <w:t>Also, the Confederation of Danish Industry, the leading organisation representing business interests, were active participants in the public debate leading up the agreement</w:t>
      </w:r>
      <w:r w:rsidR="00F1009B">
        <w:rPr>
          <w:rFonts w:ascii="Arial" w:hAnsi="Arial" w:cs="Arial"/>
        </w:rPr>
        <w:t>.</w:t>
      </w:r>
      <w:r w:rsidR="00567444">
        <w:rPr>
          <w:rFonts w:ascii="Arial" w:hAnsi="Arial" w:cs="Arial"/>
        </w:rPr>
        <w:t xml:space="preserve"> The Confederation put public pressure on the Liberal and Conservative parties to enter into a broad agreement, arguing </w:t>
      </w:r>
      <w:r w:rsidR="00BE7DF2">
        <w:rPr>
          <w:rFonts w:ascii="Arial" w:hAnsi="Arial" w:cs="Arial"/>
        </w:rPr>
        <w:t>that consensus around</w:t>
      </w:r>
      <w:r w:rsidR="00016821">
        <w:rPr>
          <w:rFonts w:ascii="Arial" w:hAnsi="Arial" w:cs="Arial"/>
        </w:rPr>
        <w:t xml:space="preserve"> the energy policy was necessary</w:t>
      </w:r>
      <w:r w:rsidR="003B69B9">
        <w:rPr>
          <w:rFonts w:ascii="Arial" w:hAnsi="Arial" w:cs="Arial"/>
        </w:rPr>
        <w:t xml:space="preserve"> in order to ensure a stable investment climate </w:t>
      </w:r>
      <w:r w:rsidR="00016821">
        <w:rPr>
          <w:rFonts w:ascii="Arial" w:hAnsi="Arial" w:cs="Arial"/>
        </w:rPr>
        <w:t xml:space="preserve">among Danish businesses (Jyllands-Posten  2011). On the other hand a business association of large energy users publicly worried that the parties would come up with an agreement that would increase energy prices (Jyllands-Posten 2012). </w:t>
      </w:r>
    </w:p>
    <w:p w:rsidR="00BE7DF2" w:rsidRDefault="00BE7DF2" w:rsidP="005158B5">
      <w:pPr>
        <w:spacing w:line="480" w:lineRule="auto"/>
        <w:jc w:val="both"/>
        <w:rPr>
          <w:rFonts w:ascii="Arial" w:hAnsi="Arial" w:cs="Arial"/>
        </w:rPr>
      </w:pPr>
    </w:p>
    <w:p w:rsidR="00A87CF6" w:rsidRDefault="00567444" w:rsidP="005158B5">
      <w:pPr>
        <w:spacing w:line="480" w:lineRule="auto"/>
        <w:jc w:val="both"/>
        <w:rPr>
          <w:rFonts w:ascii="Arial" w:hAnsi="Arial" w:cs="Arial"/>
        </w:rPr>
      </w:pPr>
      <w:r>
        <w:rPr>
          <w:rFonts w:ascii="Arial" w:hAnsi="Arial" w:cs="Arial"/>
        </w:rPr>
        <w:t xml:space="preserve">The overall cost of the agreement was an important issue </w:t>
      </w:r>
      <w:r w:rsidR="00607EF9" w:rsidRPr="0033582C">
        <w:rPr>
          <w:rFonts w:ascii="Arial" w:hAnsi="Arial" w:cs="Arial"/>
        </w:rPr>
        <w:t xml:space="preserve">in the negotiations </w:t>
      </w:r>
      <w:r w:rsidR="00BE7DF2">
        <w:rPr>
          <w:rFonts w:ascii="Arial" w:hAnsi="Arial" w:cs="Arial"/>
        </w:rPr>
        <w:t xml:space="preserve">between the political parties. </w:t>
      </w:r>
      <w:r>
        <w:rPr>
          <w:rFonts w:ascii="Arial" w:hAnsi="Arial" w:cs="Arial"/>
        </w:rPr>
        <w:t xml:space="preserve">The </w:t>
      </w:r>
      <w:r w:rsidR="003B69B9">
        <w:rPr>
          <w:rFonts w:ascii="Arial" w:hAnsi="Arial" w:cs="Arial"/>
        </w:rPr>
        <w:t>new right-wing opposition announced early on that they would not agree to the proposal put forward by the centre-left government.</w:t>
      </w:r>
      <w:r w:rsidR="00F85260">
        <w:rPr>
          <w:rFonts w:ascii="Arial" w:hAnsi="Arial" w:cs="Arial"/>
        </w:rPr>
        <w:t xml:space="preserve"> </w:t>
      </w:r>
      <w:r w:rsidR="003B69B9">
        <w:rPr>
          <w:rFonts w:ascii="Arial" w:hAnsi="Arial" w:cs="Arial"/>
        </w:rPr>
        <w:t xml:space="preserve">The </w:t>
      </w:r>
      <w:r w:rsidR="004345A6">
        <w:rPr>
          <w:rFonts w:ascii="Arial" w:hAnsi="Arial" w:cs="Arial"/>
        </w:rPr>
        <w:t>general tenets of the proposal were</w:t>
      </w:r>
      <w:r w:rsidR="003B69B9">
        <w:rPr>
          <w:rFonts w:ascii="Arial" w:hAnsi="Arial" w:cs="Arial"/>
        </w:rPr>
        <w:t xml:space="preserve"> quite similar to the agreement put forward by the Liberal and Conservative parties when they were in government and implemented many of the recommendations suggested</w:t>
      </w:r>
      <w:r w:rsidR="004345A6">
        <w:rPr>
          <w:rFonts w:ascii="Arial" w:hAnsi="Arial" w:cs="Arial"/>
        </w:rPr>
        <w:t xml:space="preserve"> by the Climate Commission,</w:t>
      </w:r>
      <w:r w:rsidR="00F85260">
        <w:rPr>
          <w:rFonts w:ascii="Arial" w:hAnsi="Arial" w:cs="Arial"/>
        </w:rPr>
        <w:t xml:space="preserve"> </w:t>
      </w:r>
      <w:r w:rsidR="004345A6">
        <w:rPr>
          <w:rFonts w:ascii="Arial" w:hAnsi="Arial" w:cs="Arial"/>
        </w:rPr>
        <w:t>but calculations showed that the new proposal would cost DKK 5.3 billion or about DKK 2 billion higher than what had been proposed by the previous government. The cost of the final agreement was close to the demands of the opposition (Weekendavisen 30</w:t>
      </w:r>
      <w:r w:rsidR="004345A6" w:rsidRPr="004345A6">
        <w:rPr>
          <w:rFonts w:ascii="Arial" w:hAnsi="Arial" w:cs="Arial"/>
          <w:vertAlign w:val="superscript"/>
        </w:rPr>
        <w:t>th</w:t>
      </w:r>
      <w:r w:rsidR="004345A6">
        <w:rPr>
          <w:rFonts w:ascii="Arial" w:hAnsi="Arial" w:cs="Arial"/>
        </w:rPr>
        <w:t xml:space="preserve"> March 2012). The right</w:t>
      </w:r>
      <w:r w:rsidR="00A65E6A">
        <w:rPr>
          <w:rFonts w:ascii="Arial" w:hAnsi="Arial" w:cs="Arial"/>
        </w:rPr>
        <w:t>-</w:t>
      </w:r>
      <w:r w:rsidR="004345A6">
        <w:rPr>
          <w:rFonts w:ascii="Arial" w:hAnsi="Arial" w:cs="Arial"/>
        </w:rPr>
        <w:t xml:space="preserve">wing opposition,including </w:t>
      </w:r>
      <w:r w:rsidR="00607EF9" w:rsidRPr="0033582C">
        <w:rPr>
          <w:rFonts w:ascii="Arial" w:hAnsi="Arial" w:cs="Arial"/>
        </w:rPr>
        <w:t>the Liberal A</w:t>
      </w:r>
      <w:r w:rsidR="001C7165" w:rsidRPr="0033582C">
        <w:rPr>
          <w:rFonts w:ascii="Arial" w:hAnsi="Arial" w:cs="Arial"/>
        </w:rPr>
        <w:t>l</w:t>
      </w:r>
      <w:r w:rsidR="00607EF9" w:rsidRPr="0033582C">
        <w:rPr>
          <w:rFonts w:ascii="Arial" w:hAnsi="Arial" w:cs="Arial"/>
        </w:rPr>
        <w:t>liance</w:t>
      </w:r>
      <w:r w:rsidR="00A65E6A">
        <w:rPr>
          <w:rFonts w:ascii="Arial" w:hAnsi="Arial" w:cs="Arial"/>
        </w:rPr>
        <w:t>,</w:t>
      </w:r>
      <w:r w:rsidR="00607EF9" w:rsidRPr="0033582C">
        <w:rPr>
          <w:rFonts w:ascii="Arial" w:hAnsi="Arial" w:cs="Arial"/>
        </w:rPr>
        <w:t xml:space="preserve"> demanded that the amount of p</w:t>
      </w:r>
      <w:r w:rsidR="005975E9" w:rsidRPr="0033582C">
        <w:rPr>
          <w:rFonts w:ascii="Arial" w:hAnsi="Arial" w:cs="Arial"/>
        </w:rPr>
        <w:t>l</w:t>
      </w:r>
      <w:r w:rsidR="00607EF9" w:rsidRPr="0033582C">
        <w:rPr>
          <w:rFonts w:ascii="Arial" w:hAnsi="Arial" w:cs="Arial"/>
        </w:rPr>
        <w:t xml:space="preserve">anned offshore wind </w:t>
      </w:r>
      <w:r w:rsidR="0008595F">
        <w:rPr>
          <w:rFonts w:ascii="Arial" w:hAnsi="Arial" w:cs="Arial"/>
        </w:rPr>
        <w:t xml:space="preserve">energy </w:t>
      </w:r>
      <w:r w:rsidR="00607EF9" w:rsidRPr="0033582C">
        <w:rPr>
          <w:rFonts w:ascii="Arial" w:hAnsi="Arial" w:cs="Arial"/>
        </w:rPr>
        <w:t xml:space="preserve">be reduced in order to cut costs. Some cuts were made, but the Liberal Alliance nevertheless did not sign the inter-party agreement. </w:t>
      </w:r>
    </w:p>
    <w:p w:rsidR="00A65E6A" w:rsidRDefault="00A65E6A" w:rsidP="005158B5">
      <w:pPr>
        <w:spacing w:line="480" w:lineRule="auto"/>
        <w:jc w:val="both"/>
        <w:rPr>
          <w:rFonts w:ascii="Arial" w:hAnsi="Arial" w:cs="Arial"/>
        </w:rPr>
      </w:pPr>
    </w:p>
    <w:p w:rsidR="00A87CF6" w:rsidRDefault="00FF17FB" w:rsidP="005158B5">
      <w:pPr>
        <w:spacing w:line="480" w:lineRule="auto"/>
        <w:jc w:val="both"/>
        <w:rPr>
          <w:rFonts w:ascii="Arial" w:hAnsi="Arial" w:cs="Arial"/>
        </w:rPr>
      </w:pPr>
      <w:r w:rsidRPr="0033582C">
        <w:rPr>
          <w:rFonts w:ascii="Arial" w:hAnsi="Arial" w:cs="Arial"/>
        </w:rPr>
        <w:t xml:space="preserve">The new law came into effect in </w:t>
      </w:r>
      <w:r w:rsidR="000537C6" w:rsidRPr="0033582C">
        <w:rPr>
          <w:rFonts w:ascii="Arial" w:hAnsi="Arial" w:cs="Arial"/>
        </w:rPr>
        <w:t xml:space="preserve">the summer of </w:t>
      </w:r>
      <w:r w:rsidRPr="0033582C">
        <w:rPr>
          <w:rFonts w:ascii="Arial" w:hAnsi="Arial" w:cs="Arial"/>
        </w:rPr>
        <w:t xml:space="preserve">2012. </w:t>
      </w:r>
      <w:r w:rsidR="004345A6">
        <w:rPr>
          <w:rFonts w:ascii="Arial" w:hAnsi="Arial" w:cs="Arial"/>
        </w:rPr>
        <w:t xml:space="preserve">Negotiations in this phase </w:t>
      </w:r>
      <w:r w:rsidR="00A87CF6">
        <w:rPr>
          <w:rFonts w:ascii="Arial" w:hAnsi="Arial" w:cs="Arial"/>
        </w:rPr>
        <w:t xml:space="preserve">took </w:t>
      </w:r>
      <w:r w:rsidR="004345A6">
        <w:rPr>
          <w:rFonts w:ascii="Arial" w:hAnsi="Arial" w:cs="Arial"/>
        </w:rPr>
        <w:t xml:space="preserve">place primarily among the government, represented by Climate and Energy Minister Martin Lidegaard, and finance and/or energy spokesmen of all opposition parties. </w:t>
      </w:r>
      <w:r w:rsidR="00413150">
        <w:rPr>
          <w:rFonts w:ascii="Arial" w:hAnsi="Arial" w:cs="Arial"/>
        </w:rPr>
        <w:t xml:space="preserve">Interest organisations were also quite active in the media during this phase, but </w:t>
      </w:r>
      <w:r w:rsidR="00206203">
        <w:rPr>
          <w:rFonts w:ascii="Arial" w:hAnsi="Arial" w:cs="Arial"/>
        </w:rPr>
        <w:t xml:space="preserve">most of their </w:t>
      </w:r>
      <w:r w:rsidR="00413150">
        <w:rPr>
          <w:rFonts w:ascii="Arial" w:hAnsi="Arial" w:cs="Arial"/>
        </w:rPr>
        <w:t xml:space="preserve">input on the substance of the agreement was given </w:t>
      </w:r>
      <w:r w:rsidR="00206203">
        <w:rPr>
          <w:rFonts w:ascii="Arial" w:hAnsi="Arial" w:cs="Arial"/>
        </w:rPr>
        <w:t xml:space="preserve">earlier, </w:t>
      </w:r>
      <w:r w:rsidR="003B0BB3">
        <w:rPr>
          <w:rFonts w:ascii="Arial" w:hAnsi="Arial" w:cs="Arial"/>
        </w:rPr>
        <w:t>when the original proposals</w:t>
      </w:r>
      <w:r w:rsidR="00206203">
        <w:rPr>
          <w:rFonts w:ascii="Arial" w:hAnsi="Arial" w:cs="Arial"/>
        </w:rPr>
        <w:t xml:space="preserve"> were worked out (Interview, </w:t>
      </w:r>
      <w:r w:rsidR="00A87CF6" w:rsidRPr="0033582C">
        <w:rPr>
          <w:rFonts w:ascii="Arial" w:hAnsi="Arial" w:cs="Arial"/>
        </w:rPr>
        <w:t>Danish Wind Energy  Association 16/07/2013</w:t>
      </w:r>
      <w:r w:rsidR="003B0BB3">
        <w:rPr>
          <w:rFonts w:ascii="Arial" w:hAnsi="Arial" w:cs="Arial"/>
        </w:rPr>
        <w:t>)</w:t>
      </w:r>
      <w:r w:rsidR="00A87CF6">
        <w:rPr>
          <w:rFonts w:ascii="Arial" w:hAnsi="Arial" w:cs="Arial"/>
        </w:rPr>
        <w:t>.There was c</w:t>
      </w:r>
      <w:r w:rsidRPr="0033582C">
        <w:rPr>
          <w:rFonts w:ascii="Arial" w:hAnsi="Arial" w:cs="Arial"/>
        </w:rPr>
        <w:t xml:space="preserve">ontroversy over the effect of </w:t>
      </w:r>
      <w:r w:rsidR="000537C6" w:rsidRPr="0033582C">
        <w:rPr>
          <w:rFonts w:ascii="Arial" w:hAnsi="Arial" w:cs="Arial"/>
        </w:rPr>
        <w:t xml:space="preserve">an increase in </w:t>
      </w:r>
      <w:r w:rsidRPr="0033582C">
        <w:rPr>
          <w:rFonts w:ascii="Arial" w:hAnsi="Arial" w:cs="Arial"/>
        </w:rPr>
        <w:t xml:space="preserve">solar </w:t>
      </w:r>
      <w:r w:rsidR="0008595F">
        <w:rPr>
          <w:rFonts w:ascii="Arial" w:hAnsi="Arial" w:cs="Arial"/>
        </w:rPr>
        <w:t xml:space="preserve">photovoltaics (pv) </w:t>
      </w:r>
      <w:r w:rsidRPr="0033582C">
        <w:rPr>
          <w:rFonts w:ascii="Arial" w:hAnsi="Arial" w:cs="Arial"/>
        </w:rPr>
        <w:t xml:space="preserve">installations </w:t>
      </w:r>
      <w:r w:rsidR="000537C6" w:rsidRPr="0033582C">
        <w:rPr>
          <w:rFonts w:ascii="Arial" w:hAnsi="Arial" w:cs="Arial"/>
        </w:rPr>
        <w:t xml:space="preserve">on the costs to electricity distribution companies who were responsible for paying premium incentives, and the electricity </w:t>
      </w:r>
      <w:r w:rsidRPr="0033582C">
        <w:rPr>
          <w:rFonts w:ascii="Arial" w:hAnsi="Arial" w:cs="Arial"/>
        </w:rPr>
        <w:t xml:space="preserve">industry </w:t>
      </w:r>
      <w:r w:rsidR="000537C6" w:rsidRPr="0033582C">
        <w:rPr>
          <w:rFonts w:ascii="Arial" w:hAnsi="Arial" w:cs="Arial"/>
        </w:rPr>
        <w:t xml:space="preserve">pressed the government </w:t>
      </w:r>
      <w:r w:rsidRPr="0033582C">
        <w:rPr>
          <w:rFonts w:ascii="Arial" w:hAnsi="Arial" w:cs="Arial"/>
        </w:rPr>
        <w:t>to red</w:t>
      </w:r>
      <w:r w:rsidR="000537C6" w:rsidRPr="0033582C">
        <w:rPr>
          <w:rFonts w:ascii="Arial" w:hAnsi="Arial" w:cs="Arial"/>
        </w:rPr>
        <w:t xml:space="preserve">uce the incentives for </w:t>
      </w:r>
      <w:r w:rsidR="00A87CF6">
        <w:rPr>
          <w:rFonts w:ascii="Arial" w:hAnsi="Arial" w:cs="Arial"/>
        </w:rPr>
        <w:t xml:space="preserve">new </w:t>
      </w:r>
      <w:r w:rsidR="000537C6" w:rsidRPr="0033582C">
        <w:rPr>
          <w:rFonts w:ascii="Arial" w:hAnsi="Arial" w:cs="Arial"/>
        </w:rPr>
        <w:t>solar pv</w:t>
      </w:r>
      <w:r w:rsidR="00A87CF6">
        <w:rPr>
          <w:rFonts w:ascii="Arial" w:hAnsi="Arial" w:cs="Arial"/>
        </w:rPr>
        <w:t xml:space="preserve"> installations, </w:t>
      </w:r>
      <w:r w:rsidR="004C097D" w:rsidRPr="0033582C">
        <w:rPr>
          <w:rFonts w:ascii="Arial" w:hAnsi="Arial" w:cs="Arial"/>
        </w:rPr>
        <w:t>which was achieved in November 2012</w:t>
      </w:r>
      <w:r w:rsidR="00D3167D" w:rsidRPr="0033582C">
        <w:rPr>
          <w:rFonts w:ascii="Arial" w:hAnsi="Arial" w:cs="Arial"/>
        </w:rPr>
        <w:t xml:space="preserve"> (interview</w:t>
      </w:r>
      <w:r w:rsidR="00AE5748" w:rsidRPr="0033582C">
        <w:rPr>
          <w:rFonts w:ascii="Arial" w:hAnsi="Arial" w:cs="Arial"/>
        </w:rPr>
        <w:t xml:space="preserve"> with representative of Danish Energy Associa</w:t>
      </w:r>
      <w:r w:rsidR="004451D8" w:rsidRPr="0033582C">
        <w:rPr>
          <w:rFonts w:ascii="Arial" w:hAnsi="Arial" w:cs="Arial"/>
        </w:rPr>
        <w:t>ti</w:t>
      </w:r>
      <w:r w:rsidR="00AE5748" w:rsidRPr="0033582C">
        <w:rPr>
          <w:rFonts w:ascii="Arial" w:hAnsi="Arial" w:cs="Arial"/>
        </w:rPr>
        <w:t>on</w:t>
      </w:r>
      <w:r w:rsidR="00971C35" w:rsidRPr="0033582C">
        <w:rPr>
          <w:rFonts w:ascii="Arial" w:hAnsi="Arial" w:cs="Arial"/>
        </w:rPr>
        <w:t>, 31/07/2013</w:t>
      </w:r>
      <w:r w:rsidR="00D3167D" w:rsidRPr="0033582C">
        <w:rPr>
          <w:rFonts w:ascii="Arial" w:hAnsi="Arial" w:cs="Arial"/>
        </w:rPr>
        <w:t>)</w:t>
      </w:r>
      <w:r w:rsidR="004C097D" w:rsidRPr="0033582C">
        <w:rPr>
          <w:rFonts w:ascii="Arial" w:hAnsi="Arial" w:cs="Arial"/>
        </w:rPr>
        <w:t>.</w:t>
      </w:r>
    </w:p>
    <w:p w:rsidR="00A65E6A" w:rsidRDefault="00A65E6A" w:rsidP="005158B5">
      <w:pPr>
        <w:spacing w:line="480" w:lineRule="auto"/>
        <w:jc w:val="both"/>
        <w:rPr>
          <w:rFonts w:ascii="Arial" w:hAnsi="Arial" w:cs="Arial"/>
        </w:rPr>
      </w:pPr>
    </w:p>
    <w:p w:rsidR="00FF17FB" w:rsidRDefault="000537C6" w:rsidP="005158B5">
      <w:pPr>
        <w:spacing w:line="480" w:lineRule="auto"/>
        <w:jc w:val="both"/>
        <w:rPr>
          <w:rFonts w:ascii="Arial" w:hAnsi="Arial" w:cs="Arial"/>
        </w:rPr>
      </w:pPr>
      <w:r w:rsidRPr="0033582C">
        <w:rPr>
          <w:rFonts w:ascii="Arial" w:hAnsi="Arial" w:cs="Arial"/>
        </w:rPr>
        <w:t xml:space="preserve">Thus it can be argued that a policy community including the electricity industry and renewable energy trade groups </w:t>
      </w:r>
      <w:r w:rsidR="00190937">
        <w:rPr>
          <w:rFonts w:ascii="Arial" w:hAnsi="Arial" w:cs="Arial"/>
        </w:rPr>
        <w:t xml:space="preserve">significantly influence policy formulation and national level implementation </w:t>
      </w:r>
      <w:r w:rsidRPr="0033582C">
        <w:rPr>
          <w:rFonts w:ascii="Arial" w:hAnsi="Arial" w:cs="Arial"/>
        </w:rPr>
        <w:t>of Danish renewable energy policies. However this is done through a consensus system. This operates on two levels in this case. First, a consensus policy was drafted by the government, with recommendations first delegated to the Climate Commission</w:t>
      </w:r>
      <w:r w:rsidR="005975E9" w:rsidRPr="0033582C">
        <w:rPr>
          <w:rFonts w:ascii="Arial" w:hAnsi="Arial" w:cs="Arial"/>
        </w:rPr>
        <w:t xml:space="preserve"> led by, and consisting of, academic experts</w:t>
      </w:r>
      <w:r w:rsidRPr="0033582C">
        <w:rPr>
          <w:rFonts w:ascii="Arial" w:hAnsi="Arial" w:cs="Arial"/>
        </w:rPr>
        <w:t>. Second, the details were decided by a policy community including the main political parties, not just government parties</w:t>
      </w:r>
      <w:r w:rsidR="00907539">
        <w:rPr>
          <w:rFonts w:ascii="Arial" w:hAnsi="Arial" w:cs="Arial"/>
        </w:rPr>
        <w:t>, as well as interest organisations</w:t>
      </w:r>
      <w:r w:rsidRPr="0033582C">
        <w:rPr>
          <w:rFonts w:ascii="Arial" w:hAnsi="Arial" w:cs="Arial"/>
        </w:rPr>
        <w:t>.</w:t>
      </w:r>
    </w:p>
    <w:p w:rsidR="00A65E6A" w:rsidRPr="0033582C" w:rsidRDefault="00A65E6A" w:rsidP="005158B5">
      <w:pPr>
        <w:spacing w:line="480" w:lineRule="auto"/>
        <w:jc w:val="both"/>
        <w:rPr>
          <w:rFonts w:ascii="Arial" w:hAnsi="Arial" w:cs="Arial"/>
        </w:rPr>
      </w:pPr>
    </w:p>
    <w:p w:rsidR="00190937" w:rsidRPr="002C6F98" w:rsidRDefault="00190937" w:rsidP="005158B5">
      <w:pPr>
        <w:spacing w:line="480" w:lineRule="auto"/>
        <w:jc w:val="both"/>
        <w:rPr>
          <w:rFonts w:ascii="Arial" w:hAnsi="Arial" w:cs="Arial"/>
          <w:i/>
        </w:rPr>
      </w:pPr>
      <w:r w:rsidRPr="002C6F98">
        <w:rPr>
          <w:rFonts w:ascii="Arial" w:hAnsi="Arial" w:cs="Arial"/>
          <w:i/>
        </w:rPr>
        <w:t xml:space="preserve">Implementation </w:t>
      </w:r>
    </w:p>
    <w:p w:rsidR="00DA69D8" w:rsidRDefault="005C143F" w:rsidP="005158B5">
      <w:pPr>
        <w:spacing w:line="480" w:lineRule="auto"/>
        <w:jc w:val="both"/>
        <w:rPr>
          <w:rFonts w:ascii="Arial" w:hAnsi="Arial" w:cs="Arial"/>
        </w:rPr>
      </w:pPr>
      <w:r w:rsidRPr="0033582C">
        <w:rPr>
          <w:rFonts w:ascii="Arial" w:hAnsi="Arial" w:cs="Arial"/>
        </w:rPr>
        <w:t>Renewable energy has been funded through what has been termed a ‘feed-in tariff’ system whereby generators are assured payment of fixed subsidies for a given amount of production in the long term. Under the incentives introduced since 2009 this involves renewable generators being paid a supplemental incentive to that which they receive from sales of the electricity on wholesale electricity markets.</w:t>
      </w:r>
      <w:r w:rsidR="00F85260">
        <w:rPr>
          <w:rFonts w:ascii="Arial" w:hAnsi="Arial" w:cs="Arial"/>
        </w:rPr>
        <w:t xml:space="preserve"> </w:t>
      </w:r>
      <w:r w:rsidR="000537C6" w:rsidRPr="0033582C">
        <w:rPr>
          <w:rFonts w:ascii="Arial" w:hAnsi="Arial" w:cs="Arial"/>
        </w:rPr>
        <w:t>However, renewable energy policy still has to be implemented through the planning system, otherwise projects will not be constructed. Danis</w:t>
      </w:r>
      <w:r w:rsidR="009840EF" w:rsidRPr="0033582C">
        <w:rPr>
          <w:rFonts w:ascii="Arial" w:hAnsi="Arial" w:cs="Arial"/>
        </w:rPr>
        <w:t>h</w:t>
      </w:r>
      <w:r w:rsidR="000537C6" w:rsidRPr="0033582C">
        <w:rPr>
          <w:rFonts w:ascii="Arial" w:hAnsi="Arial" w:cs="Arial"/>
        </w:rPr>
        <w:t xml:space="preserve"> energy planning is set out in planning laws such as</w:t>
      </w:r>
      <w:r w:rsidR="00F85260">
        <w:rPr>
          <w:rFonts w:ascii="Arial" w:hAnsi="Arial" w:cs="Arial"/>
        </w:rPr>
        <w:t xml:space="preserve"> </w:t>
      </w:r>
      <w:r w:rsidR="006142FA" w:rsidRPr="0033582C">
        <w:rPr>
          <w:rFonts w:ascii="Arial" w:hAnsi="Arial" w:cs="Arial"/>
        </w:rPr>
        <w:t>the Planning Act (LBK 587 27 May 2013) and the Circular on planning and zoning permissions for windmill installations (Cir1h no. 9125 of 22 May 2009)</w:t>
      </w:r>
      <w:r w:rsidR="000537C6" w:rsidRPr="0033582C">
        <w:rPr>
          <w:rFonts w:ascii="Arial" w:hAnsi="Arial" w:cs="Arial"/>
        </w:rPr>
        <w:t xml:space="preserve">. </w:t>
      </w:r>
      <w:r w:rsidR="0056664A" w:rsidRPr="0033582C">
        <w:rPr>
          <w:rFonts w:ascii="Arial" w:hAnsi="Arial" w:cs="Arial"/>
        </w:rPr>
        <w:t>Until 2013</w:t>
      </w:r>
      <w:r w:rsidR="006142FA" w:rsidRPr="0033582C">
        <w:rPr>
          <w:rFonts w:ascii="Arial" w:hAnsi="Arial" w:cs="Arial"/>
        </w:rPr>
        <w:t>,</w:t>
      </w:r>
      <w:r w:rsidR="0056664A" w:rsidRPr="0033582C">
        <w:rPr>
          <w:rFonts w:ascii="Arial" w:hAnsi="Arial" w:cs="Arial"/>
        </w:rPr>
        <w:t xml:space="preserve"> around two-thirds of electricity generated from wind power came from onshore installations</w:t>
      </w:r>
      <w:r w:rsidR="00D560B2" w:rsidRPr="0033582C">
        <w:rPr>
          <w:rFonts w:ascii="Arial" w:hAnsi="Arial" w:cs="Arial"/>
        </w:rPr>
        <w:t>. T</w:t>
      </w:r>
      <w:r w:rsidR="0056664A" w:rsidRPr="0033582C">
        <w:rPr>
          <w:rFonts w:ascii="Arial" w:hAnsi="Arial" w:cs="Arial"/>
        </w:rPr>
        <w:t xml:space="preserve">he bulk of future development </w:t>
      </w:r>
      <w:r w:rsidR="00D560B2" w:rsidRPr="0033582C">
        <w:rPr>
          <w:rFonts w:ascii="Arial" w:hAnsi="Arial" w:cs="Arial"/>
        </w:rPr>
        <w:t xml:space="preserve">to expand wind power capacity </w:t>
      </w:r>
      <w:r w:rsidR="007F4838">
        <w:rPr>
          <w:rFonts w:ascii="Arial" w:hAnsi="Arial" w:cs="Arial"/>
        </w:rPr>
        <w:t>is projected to be sited</w:t>
      </w:r>
      <w:r w:rsidR="0056664A" w:rsidRPr="0033582C">
        <w:rPr>
          <w:rFonts w:ascii="Arial" w:hAnsi="Arial" w:cs="Arial"/>
        </w:rPr>
        <w:t xml:space="preserve"> offshore</w:t>
      </w:r>
      <w:r w:rsidR="00D560B2" w:rsidRPr="0033582C">
        <w:rPr>
          <w:rFonts w:ascii="Arial" w:hAnsi="Arial" w:cs="Arial"/>
          <w:iCs/>
        </w:rPr>
        <w:t xml:space="preserve">, although </w:t>
      </w:r>
      <w:r w:rsidR="00D560B2" w:rsidRPr="0033582C">
        <w:rPr>
          <w:rFonts w:ascii="Arial" w:hAnsi="Arial" w:cs="Arial"/>
        </w:rPr>
        <w:t>a substantial proportion of existing onshore wind turbines will be replaced by new models</w:t>
      </w:r>
      <w:r w:rsidR="00E82EF0">
        <w:rPr>
          <w:rFonts w:ascii="Arial" w:hAnsi="Arial" w:cs="Arial"/>
        </w:rPr>
        <w:t xml:space="preserve"> </w:t>
      </w:r>
      <w:r w:rsidR="00A87CF6">
        <w:rPr>
          <w:rFonts w:ascii="Arial" w:hAnsi="Arial" w:cs="Arial"/>
        </w:rPr>
        <w:t>(</w:t>
      </w:r>
      <w:hyperlink r:id="rId10" w:history="1">
        <w:r w:rsidR="003F2198" w:rsidRPr="0033582C">
          <w:rPr>
            <w:rFonts w:ascii="Arial" w:hAnsi="Arial" w:cs="Arial"/>
          </w:rPr>
          <w:t>Energistyrelsen</w:t>
        </w:r>
      </w:hyperlink>
      <w:r w:rsidR="00E82EF0">
        <w:t xml:space="preserve"> </w:t>
      </w:r>
      <w:r w:rsidR="003F2198" w:rsidRPr="0033582C">
        <w:rPr>
          <w:rFonts w:ascii="Arial" w:hAnsi="Arial" w:cs="Arial"/>
          <w:iCs/>
        </w:rPr>
        <w:t>2013</w:t>
      </w:r>
      <w:r w:rsidR="001C3C9B" w:rsidRPr="0033582C">
        <w:rPr>
          <w:rFonts w:ascii="Arial" w:hAnsi="Arial" w:cs="Arial"/>
          <w:iCs/>
        </w:rPr>
        <w:t>a</w:t>
      </w:r>
      <w:r w:rsidR="003F2198" w:rsidRPr="0033582C">
        <w:rPr>
          <w:rFonts w:ascii="Arial" w:hAnsi="Arial" w:cs="Arial"/>
          <w:iCs/>
        </w:rPr>
        <w:t>)</w:t>
      </w:r>
      <w:r w:rsidR="0056664A" w:rsidRPr="0033582C">
        <w:rPr>
          <w:rFonts w:ascii="Arial" w:hAnsi="Arial" w:cs="Arial"/>
        </w:rPr>
        <w:t xml:space="preserve">. </w:t>
      </w:r>
      <w:r w:rsidR="00BC59C7" w:rsidRPr="0033582C">
        <w:rPr>
          <w:rFonts w:ascii="Arial" w:hAnsi="Arial" w:cs="Arial"/>
        </w:rPr>
        <w:t>Planning for offshore windfarm development is organised by the national government</w:t>
      </w:r>
      <w:r w:rsidR="0029752C" w:rsidRPr="0033582C">
        <w:rPr>
          <w:rFonts w:ascii="Arial" w:hAnsi="Arial" w:cs="Arial"/>
        </w:rPr>
        <w:t xml:space="preserve">. However, </w:t>
      </w:r>
      <w:r w:rsidR="001A00D9" w:rsidRPr="0033582C">
        <w:rPr>
          <w:rFonts w:ascii="Arial" w:hAnsi="Arial" w:cs="Arial"/>
        </w:rPr>
        <w:t xml:space="preserve">there is an effort to inject local participation in the sense that </w:t>
      </w:r>
      <w:r w:rsidR="0029752C" w:rsidRPr="0033582C">
        <w:rPr>
          <w:rFonts w:ascii="Arial" w:hAnsi="Arial" w:cs="Arial"/>
        </w:rPr>
        <w:t xml:space="preserve">around 30 per cent of the planned new offshore windfarms are in so-called ‘near-shore’ sites, and in these cases 20 per cent of the </w:t>
      </w:r>
      <w:r w:rsidR="001A00D9" w:rsidRPr="0033582C">
        <w:rPr>
          <w:rFonts w:ascii="Arial" w:hAnsi="Arial" w:cs="Arial"/>
        </w:rPr>
        <w:t>shares in the schemes will be offered to people livi</w:t>
      </w:r>
      <w:r w:rsidR="00A65E6A">
        <w:rPr>
          <w:rFonts w:ascii="Arial" w:hAnsi="Arial" w:cs="Arial"/>
        </w:rPr>
        <w:t>ng in areas closest to the wind f</w:t>
      </w:r>
      <w:r w:rsidR="001A00D9" w:rsidRPr="0033582C">
        <w:rPr>
          <w:rFonts w:ascii="Arial" w:hAnsi="Arial" w:cs="Arial"/>
        </w:rPr>
        <w:t>arms</w:t>
      </w:r>
      <w:r w:rsidR="00A65E6A">
        <w:rPr>
          <w:rFonts w:ascii="Arial" w:hAnsi="Arial" w:cs="Arial"/>
        </w:rPr>
        <w:t>.</w:t>
      </w:r>
    </w:p>
    <w:p w:rsidR="00A65E6A" w:rsidRPr="00DA69D8" w:rsidRDefault="00A65E6A" w:rsidP="005158B5">
      <w:pPr>
        <w:spacing w:line="480" w:lineRule="auto"/>
        <w:jc w:val="both"/>
        <w:rPr>
          <w:rFonts w:ascii="Arial" w:hAnsi="Arial" w:cs="Arial"/>
          <w:color w:val="FF0000"/>
        </w:rPr>
      </w:pPr>
    </w:p>
    <w:p w:rsidR="009840EF" w:rsidRDefault="00A87CF6" w:rsidP="005158B5">
      <w:pPr>
        <w:spacing w:line="480" w:lineRule="auto"/>
        <w:jc w:val="both"/>
        <w:rPr>
          <w:rFonts w:ascii="Arial" w:hAnsi="Arial" w:cs="Arial"/>
        </w:rPr>
      </w:pPr>
      <w:r>
        <w:rPr>
          <w:rFonts w:ascii="Arial" w:hAnsi="Arial" w:cs="Arial"/>
        </w:rPr>
        <w:t>O</w:t>
      </w:r>
      <w:r w:rsidR="00D560B2" w:rsidRPr="0033582C">
        <w:rPr>
          <w:rFonts w:ascii="Arial" w:hAnsi="Arial" w:cs="Arial"/>
        </w:rPr>
        <w:t xml:space="preserve">nshore developments are </w:t>
      </w:r>
      <w:r>
        <w:rPr>
          <w:rFonts w:ascii="Arial" w:hAnsi="Arial" w:cs="Arial"/>
        </w:rPr>
        <w:t>planned</w:t>
      </w:r>
      <w:r w:rsidR="00A65E6A">
        <w:rPr>
          <w:rFonts w:ascii="Arial" w:hAnsi="Arial" w:cs="Arial"/>
        </w:rPr>
        <w:t xml:space="preserve"> by municipalities.</w:t>
      </w:r>
      <w:r w:rsidR="00F85260">
        <w:rPr>
          <w:rFonts w:ascii="Arial" w:hAnsi="Arial" w:cs="Arial"/>
        </w:rPr>
        <w:t xml:space="preserve"> </w:t>
      </w:r>
      <w:r w:rsidR="009840EF" w:rsidRPr="0033582C">
        <w:rPr>
          <w:rFonts w:ascii="Arial" w:hAnsi="Arial" w:cs="Arial"/>
        </w:rPr>
        <w:t xml:space="preserve">There is a strict zoning policy set out. </w:t>
      </w:r>
      <w:r w:rsidR="0056664A" w:rsidRPr="0033582C">
        <w:rPr>
          <w:rFonts w:ascii="Arial" w:hAnsi="Arial" w:cs="Arial"/>
        </w:rPr>
        <w:t>Onshore, b</w:t>
      </w:r>
      <w:r w:rsidR="009840EF" w:rsidRPr="0033582C">
        <w:rPr>
          <w:rFonts w:ascii="Arial" w:hAnsi="Arial" w:cs="Arial"/>
        </w:rPr>
        <w:t>uilding of power stations of 100 MW or more</w:t>
      </w:r>
      <w:r w:rsidR="0056664A" w:rsidRPr="0033582C">
        <w:rPr>
          <w:rFonts w:ascii="Arial" w:hAnsi="Arial" w:cs="Arial"/>
        </w:rPr>
        <w:t xml:space="preserve">(of whatever fuel) </w:t>
      </w:r>
      <w:r w:rsidR="002A75F3" w:rsidRPr="0033582C">
        <w:rPr>
          <w:rFonts w:ascii="Arial" w:hAnsi="Arial" w:cs="Arial"/>
        </w:rPr>
        <w:t xml:space="preserve">is effectively </w:t>
      </w:r>
      <w:r w:rsidR="009840EF" w:rsidRPr="0033582C">
        <w:rPr>
          <w:rFonts w:ascii="Arial" w:hAnsi="Arial" w:cs="Arial"/>
        </w:rPr>
        <w:t xml:space="preserve">restricted to </w:t>
      </w:r>
      <w:r w:rsidR="002A75F3" w:rsidRPr="0033582C">
        <w:rPr>
          <w:rFonts w:ascii="Arial" w:hAnsi="Arial" w:cs="Arial"/>
        </w:rPr>
        <w:t xml:space="preserve">15 </w:t>
      </w:r>
      <w:r w:rsidR="009840EF" w:rsidRPr="0033582C">
        <w:rPr>
          <w:rFonts w:ascii="Arial" w:hAnsi="Arial" w:cs="Arial"/>
        </w:rPr>
        <w:t xml:space="preserve">designated </w:t>
      </w:r>
      <w:r w:rsidR="002A75F3" w:rsidRPr="0033582C">
        <w:rPr>
          <w:rFonts w:ascii="Arial" w:hAnsi="Arial" w:cs="Arial"/>
        </w:rPr>
        <w:t>sites</w:t>
      </w:r>
      <w:r w:rsidR="009840EF" w:rsidRPr="0033582C">
        <w:rPr>
          <w:rFonts w:ascii="Arial" w:hAnsi="Arial" w:cs="Arial"/>
        </w:rPr>
        <w:t>.</w:t>
      </w:r>
      <w:r w:rsidR="00C36990" w:rsidRPr="0033582C">
        <w:rPr>
          <w:rFonts w:ascii="Arial" w:hAnsi="Arial" w:cs="Arial"/>
        </w:rPr>
        <w:t xml:space="preserve"> The national government and the local municipalities co-decide planning consent issues for power plant of between 25 MW and 100 MW,that is they both have to give consent for a project to go ahead. In the case of power plant</w:t>
      </w:r>
      <w:r w:rsidR="00A65E6A">
        <w:rPr>
          <w:rFonts w:ascii="Arial" w:hAnsi="Arial" w:cs="Arial"/>
        </w:rPr>
        <w:t>s</w:t>
      </w:r>
      <w:r w:rsidR="00C36990" w:rsidRPr="0033582C">
        <w:rPr>
          <w:rFonts w:ascii="Arial" w:hAnsi="Arial" w:cs="Arial"/>
        </w:rPr>
        <w:t xml:space="preserve"> below 25 MW the decision is taken by the municipalities. In Denmark windfarms are usually in this category. Municipalities are required by law to allocate areas for the development of wind turbines, although </w:t>
      </w:r>
      <w:r w:rsidR="00306B08">
        <w:rPr>
          <w:rFonts w:ascii="Arial" w:hAnsi="Arial" w:cs="Arial"/>
        </w:rPr>
        <w:t>many schemes proposed within these areas will still be refused planning consent</w:t>
      </w:r>
      <w:r w:rsidR="00C36990" w:rsidRPr="0033582C">
        <w:rPr>
          <w:rFonts w:ascii="Arial" w:hAnsi="Arial" w:cs="Arial"/>
        </w:rPr>
        <w:t xml:space="preserve">. </w:t>
      </w:r>
    </w:p>
    <w:p w:rsidR="00A65E6A" w:rsidRPr="0033582C" w:rsidRDefault="00A65E6A" w:rsidP="005158B5">
      <w:pPr>
        <w:spacing w:line="480" w:lineRule="auto"/>
        <w:jc w:val="both"/>
        <w:rPr>
          <w:rFonts w:ascii="Arial" w:hAnsi="Arial" w:cs="Arial"/>
        </w:rPr>
      </w:pPr>
    </w:p>
    <w:p w:rsidR="00DC3577" w:rsidRDefault="00FF17FB" w:rsidP="005158B5">
      <w:pPr>
        <w:spacing w:line="480" w:lineRule="auto"/>
        <w:jc w:val="both"/>
        <w:rPr>
          <w:rFonts w:ascii="Arial" w:hAnsi="Arial" w:cs="Arial"/>
          <w:shd w:val="clear" w:color="auto" w:fill="FFFFFF"/>
        </w:rPr>
      </w:pPr>
      <w:r w:rsidRPr="0033582C">
        <w:rPr>
          <w:rFonts w:ascii="Arial" w:hAnsi="Arial" w:cs="Arial"/>
        </w:rPr>
        <w:t xml:space="preserve">Local planning problems have </w:t>
      </w:r>
      <w:r w:rsidR="008B08C3" w:rsidRPr="0033582C">
        <w:rPr>
          <w:rFonts w:ascii="Arial" w:hAnsi="Arial" w:cs="Arial"/>
        </w:rPr>
        <w:t xml:space="preserve">always </w:t>
      </w:r>
      <w:r w:rsidRPr="0033582C">
        <w:rPr>
          <w:rFonts w:ascii="Arial" w:hAnsi="Arial" w:cs="Arial"/>
        </w:rPr>
        <w:t>beset windfarm</w:t>
      </w:r>
      <w:r w:rsidR="008B08C3" w:rsidRPr="0033582C">
        <w:rPr>
          <w:rFonts w:ascii="Arial" w:hAnsi="Arial" w:cs="Arial"/>
        </w:rPr>
        <w:t>development</w:t>
      </w:r>
      <w:r w:rsidR="00AE5748" w:rsidRPr="0033582C">
        <w:rPr>
          <w:rFonts w:ascii="Arial" w:hAnsi="Arial" w:cs="Arial"/>
        </w:rPr>
        <w:t xml:space="preserve">. </w:t>
      </w:r>
      <w:r w:rsidR="00FA2FD6" w:rsidRPr="0033582C">
        <w:rPr>
          <w:rFonts w:ascii="Arial" w:hAnsi="Arial" w:cs="Arial"/>
        </w:rPr>
        <w:t>The Government does not keep records of windfarm approval rates</w:t>
      </w:r>
      <w:r w:rsidR="008B08C3" w:rsidRPr="0033582C">
        <w:rPr>
          <w:rFonts w:ascii="Arial" w:hAnsi="Arial" w:cs="Arial"/>
        </w:rPr>
        <w:t xml:space="preserve">, but </w:t>
      </w:r>
      <w:r w:rsidR="00AE5748" w:rsidRPr="0033582C">
        <w:rPr>
          <w:rFonts w:ascii="Arial" w:hAnsi="Arial" w:cs="Arial"/>
        </w:rPr>
        <w:t>widespread rejection of propos</w:t>
      </w:r>
      <w:r w:rsidR="004451D8" w:rsidRPr="0033582C">
        <w:rPr>
          <w:rFonts w:ascii="Arial" w:hAnsi="Arial" w:cs="Arial"/>
        </w:rPr>
        <w:t>a</w:t>
      </w:r>
      <w:r w:rsidR="00AE5748" w:rsidRPr="0033582C">
        <w:rPr>
          <w:rFonts w:ascii="Arial" w:hAnsi="Arial" w:cs="Arial"/>
        </w:rPr>
        <w:t>ls for windfarms by municipalities is clear (Interview with PrebenMa</w:t>
      </w:r>
      <w:r w:rsidR="00971C35" w:rsidRPr="0033582C">
        <w:rPr>
          <w:rFonts w:ascii="Arial" w:hAnsi="Arial" w:cs="Arial"/>
        </w:rPr>
        <w:t>e</w:t>
      </w:r>
      <w:r w:rsidR="00AE5748" w:rsidRPr="0033582C">
        <w:rPr>
          <w:rFonts w:ascii="Arial" w:hAnsi="Arial" w:cs="Arial"/>
        </w:rPr>
        <w:t>gaard 30/08/2013)</w:t>
      </w:r>
      <w:r w:rsidR="00306B08">
        <w:rPr>
          <w:rFonts w:ascii="Arial" w:hAnsi="Arial" w:cs="Arial"/>
        </w:rPr>
        <w:t xml:space="preserve">. </w:t>
      </w:r>
      <w:r w:rsidR="002F2948" w:rsidRPr="0033582C">
        <w:rPr>
          <w:rFonts w:ascii="Arial" w:hAnsi="Arial" w:cs="Arial"/>
        </w:rPr>
        <w:t>Recently, some municipalities have dropped windmill areas from their municipal plans in response to public opposition, although these decisions are being challenged by the national authorities.</w:t>
      </w:r>
      <w:r w:rsidR="008B08C3" w:rsidRPr="0033582C">
        <w:rPr>
          <w:rFonts w:ascii="Arial" w:hAnsi="Arial" w:cs="Arial"/>
        </w:rPr>
        <w:t>This is in parallel with the decline of l</w:t>
      </w:r>
      <w:r w:rsidRPr="0033582C">
        <w:rPr>
          <w:rFonts w:ascii="Arial" w:hAnsi="Arial" w:cs="Arial"/>
        </w:rPr>
        <w:t xml:space="preserve">ocal ownership </w:t>
      </w:r>
      <w:r w:rsidR="008B08C3" w:rsidRPr="0033582C">
        <w:rPr>
          <w:rFonts w:ascii="Arial" w:hAnsi="Arial" w:cs="Arial"/>
        </w:rPr>
        <w:t>of wind projects</w:t>
      </w:r>
      <w:r w:rsidRPr="0033582C">
        <w:rPr>
          <w:rFonts w:ascii="Arial" w:hAnsi="Arial" w:cs="Arial"/>
        </w:rPr>
        <w:t xml:space="preserve"> since the 1990s and early 2000s. </w:t>
      </w:r>
      <w:r w:rsidR="00AE035F" w:rsidRPr="0033582C">
        <w:rPr>
          <w:rFonts w:ascii="Arial" w:hAnsi="Arial" w:cs="Arial"/>
        </w:rPr>
        <w:t>In those days wind power projects which were organised by local farmers or cooperatives and sited in areas designated by the local municipalities were liable to receive planning consent (Toke 2002)</w:t>
      </w:r>
      <w:r w:rsidR="0063311F">
        <w:rPr>
          <w:rFonts w:ascii="Arial" w:hAnsi="Arial" w:cs="Arial"/>
        </w:rPr>
        <w:t>.</w:t>
      </w:r>
      <w:r w:rsidRPr="0033582C">
        <w:rPr>
          <w:rFonts w:ascii="Arial" w:hAnsi="Arial" w:cs="Arial"/>
        </w:rPr>
        <w:t>However</w:t>
      </w:r>
      <w:r w:rsidR="00AE035F" w:rsidRPr="0033582C">
        <w:rPr>
          <w:rFonts w:ascii="Arial" w:hAnsi="Arial" w:cs="Arial"/>
        </w:rPr>
        <w:t xml:space="preserve">, in recent times the developers are mainly companies based outside the locality. Nevertheless, according to the Renewable Energy </w:t>
      </w:r>
      <w:r w:rsidR="006142FA" w:rsidRPr="0033582C">
        <w:rPr>
          <w:rFonts w:ascii="Arial" w:hAnsi="Arial" w:cs="Arial"/>
        </w:rPr>
        <w:t>Act</w:t>
      </w:r>
      <w:r w:rsidRPr="0033582C">
        <w:rPr>
          <w:rFonts w:ascii="Arial" w:hAnsi="Arial" w:cs="Arial"/>
        </w:rPr>
        <w:t xml:space="preserve">the development companies are required to offer </w:t>
      </w:r>
      <w:r w:rsidR="00AC7770" w:rsidRPr="0033582C">
        <w:rPr>
          <w:rFonts w:ascii="Arial" w:hAnsi="Arial" w:cs="Arial"/>
        </w:rPr>
        <w:t>20</w:t>
      </w:r>
      <w:r w:rsidRPr="0033582C">
        <w:rPr>
          <w:rFonts w:ascii="Arial" w:hAnsi="Arial" w:cs="Arial"/>
        </w:rPr>
        <w:t xml:space="preserve"> per cent of their shares to local people</w:t>
      </w:r>
      <w:r w:rsidR="00AC7770" w:rsidRPr="0033582C">
        <w:rPr>
          <w:rFonts w:ascii="Arial" w:hAnsi="Arial" w:cs="Arial"/>
        </w:rPr>
        <w:t>for windmills taller than 25 meters(consolidated act no. 1330)</w:t>
      </w:r>
      <w:r w:rsidR="00CC41A8" w:rsidRPr="0033582C">
        <w:rPr>
          <w:rFonts w:ascii="Arial" w:hAnsi="Arial" w:cs="Arial"/>
        </w:rPr>
        <w:t>. This requirement was introduced to promote local acceptance</w:t>
      </w:r>
      <w:r w:rsidR="00AC7770" w:rsidRPr="0033582C">
        <w:rPr>
          <w:rFonts w:ascii="Arial" w:hAnsi="Arial" w:cs="Arial"/>
        </w:rPr>
        <w:t>, but a 2011 evaluation showed that</w:t>
      </w:r>
      <w:r w:rsidR="00CC41A8" w:rsidRPr="0033582C">
        <w:rPr>
          <w:rFonts w:ascii="Arial" w:hAnsi="Arial" w:cs="Arial"/>
        </w:rPr>
        <w:t xml:space="preserve"> sales of shares had succeeded in only about half of the projects and primarily to a few larger investors (Energistyrelsen 2011)</w:t>
      </w:r>
      <w:r w:rsidR="0095220A" w:rsidRPr="0033582C">
        <w:rPr>
          <w:rFonts w:ascii="Arial" w:hAnsi="Arial" w:cs="Arial"/>
        </w:rPr>
        <w:t xml:space="preserve">. </w:t>
      </w:r>
      <w:r w:rsidRPr="0033582C">
        <w:rPr>
          <w:rFonts w:ascii="Arial" w:hAnsi="Arial" w:cs="Arial"/>
        </w:rPr>
        <w:t>Final planning decisions are taken by the local municipalities.</w:t>
      </w:r>
      <w:r w:rsidR="000D703F" w:rsidRPr="0033582C">
        <w:rPr>
          <w:rFonts w:ascii="Arial" w:hAnsi="Arial" w:cs="Arial"/>
        </w:rPr>
        <w:t xml:space="preserve"> Citizens who want to contest decisions to grant planning consent can take their case to the </w:t>
      </w:r>
      <w:r w:rsidR="000D703F" w:rsidRPr="0033582C">
        <w:rPr>
          <w:rFonts w:ascii="Arial" w:hAnsi="Arial" w:cs="Arial"/>
          <w:shd w:val="clear" w:color="auto" w:fill="FFFFFF"/>
        </w:rPr>
        <w:t>Nature Protection and Environmental Board of Appeal who will decide cases according to whether correct procedures have been observed.</w:t>
      </w:r>
      <w:r w:rsidR="00C36990" w:rsidRPr="0033582C">
        <w:rPr>
          <w:rFonts w:ascii="Arial" w:hAnsi="Arial" w:cs="Arial"/>
          <w:shd w:val="clear" w:color="auto" w:fill="FFFFFF"/>
        </w:rPr>
        <w:t xml:space="preserve"> However, judgements will not be made on issues of substance, for example whether or not a windfarm conforms to landscape protection criteria.</w:t>
      </w:r>
    </w:p>
    <w:p w:rsidR="00907BB4" w:rsidRDefault="00907BB4" w:rsidP="005158B5">
      <w:pPr>
        <w:spacing w:line="480" w:lineRule="auto"/>
        <w:jc w:val="both"/>
        <w:rPr>
          <w:rFonts w:ascii="Arial" w:hAnsi="Arial" w:cs="Arial"/>
          <w:shd w:val="clear" w:color="auto" w:fill="FFFFFF"/>
        </w:rPr>
      </w:pPr>
    </w:p>
    <w:p w:rsidR="006C04DF" w:rsidRPr="0033582C" w:rsidRDefault="00DC3577" w:rsidP="005158B5">
      <w:pPr>
        <w:spacing w:line="480" w:lineRule="auto"/>
        <w:jc w:val="both"/>
        <w:rPr>
          <w:rFonts w:ascii="Arial" w:hAnsi="Arial" w:cs="Arial"/>
          <w:shd w:val="clear" w:color="auto" w:fill="FFFFFF"/>
        </w:rPr>
      </w:pPr>
      <w:r>
        <w:rPr>
          <w:rFonts w:ascii="Arial" w:hAnsi="Arial" w:cs="Arial"/>
          <w:shd w:val="clear" w:color="auto" w:fill="FFFFFF"/>
        </w:rPr>
        <w:t xml:space="preserve">Hence to sum up the empirical section on Denmark, we can say that the theories, espoused by Bevir and Rhodes (2003) concerning relative decentralisation and political authority residing with local government. are borne out in this case. </w:t>
      </w:r>
      <w:r w:rsidR="006C04DF">
        <w:rPr>
          <w:rFonts w:ascii="Arial" w:hAnsi="Arial" w:cs="Arial"/>
          <w:shd w:val="clear" w:color="auto" w:fill="FFFFFF"/>
        </w:rPr>
        <w:t>Windfarm implementation in Denmark is characterised by a considerable degree of local control. National authorities cannot override local authorities when it comes to planning decisions about specific projects. In addition to this local part-ownership of windfarm schemes is mandatory.</w:t>
      </w:r>
    </w:p>
    <w:p w:rsidR="007F4838" w:rsidRDefault="003C65EC" w:rsidP="005158B5">
      <w:pPr>
        <w:spacing w:line="480" w:lineRule="auto"/>
        <w:jc w:val="both"/>
        <w:rPr>
          <w:rFonts w:ascii="Arial" w:hAnsi="Arial" w:cs="Arial"/>
          <w:b/>
        </w:rPr>
      </w:pPr>
      <w:r>
        <w:rPr>
          <w:rFonts w:ascii="Arial" w:hAnsi="Arial" w:cs="Arial"/>
          <w:shd w:val="clear" w:color="auto" w:fill="FFFFFF"/>
        </w:rPr>
        <w:t xml:space="preserve">Moreover, Denmark seems to follow a consensual pattern </w:t>
      </w:r>
      <w:r w:rsidR="00A24AA6">
        <w:rPr>
          <w:rFonts w:ascii="Arial" w:hAnsi="Arial" w:cs="Arial"/>
          <w:shd w:val="clear" w:color="auto" w:fill="FFFFFF"/>
        </w:rPr>
        <w:t xml:space="preserve">(rather than adversarial) </w:t>
      </w:r>
      <w:r>
        <w:rPr>
          <w:rFonts w:ascii="Arial" w:hAnsi="Arial" w:cs="Arial"/>
          <w:shd w:val="clear" w:color="auto" w:fill="FFFFFF"/>
        </w:rPr>
        <w:t>of political deliberation at the policy formation stage</w:t>
      </w:r>
      <w:r w:rsidR="006C04DF">
        <w:rPr>
          <w:rFonts w:ascii="Arial" w:hAnsi="Arial" w:cs="Arial"/>
          <w:shd w:val="clear" w:color="auto" w:fill="FFFFFF"/>
        </w:rPr>
        <w:t>, as indicated in the theory concerning Danish policymaking (</w:t>
      </w:r>
      <w:r w:rsidR="006C04DF">
        <w:rPr>
          <w:rFonts w:ascii="Arial" w:hAnsi="Arial" w:cs="Arial"/>
        </w:rPr>
        <w:t xml:space="preserve">Green-Pedersen and Thomsen </w:t>
      </w:r>
      <w:r w:rsidR="006C04DF" w:rsidRPr="00CA7074">
        <w:rPr>
          <w:rFonts w:ascii="Arial" w:hAnsi="Arial" w:cs="Arial"/>
        </w:rPr>
        <w:t>2005</w:t>
      </w:r>
      <w:r w:rsidR="006C04DF">
        <w:rPr>
          <w:rFonts w:ascii="Arial" w:hAnsi="Arial" w:cs="Arial"/>
        </w:rPr>
        <w:t>)</w:t>
      </w:r>
      <w:r w:rsidR="00A24AA6">
        <w:rPr>
          <w:rFonts w:ascii="Arial" w:hAnsi="Arial" w:cs="Arial"/>
        </w:rPr>
        <w:t xml:space="preserve"> and in line with a distinction between ‘consensus’ and ‘adversarial’ systems such as the UK (Fli</w:t>
      </w:r>
      <w:r w:rsidR="00F85260">
        <w:rPr>
          <w:rFonts w:ascii="Arial" w:hAnsi="Arial" w:cs="Arial"/>
        </w:rPr>
        <w:t>n</w:t>
      </w:r>
      <w:r w:rsidR="00A24AA6">
        <w:rPr>
          <w:rFonts w:ascii="Arial" w:hAnsi="Arial" w:cs="Arial"/>
        </w:rPr>
        <w:t xml:space="preserve">ders 2005). </w:t>
      </w:r>
      <w:r>
        <w:rPr>
          <w:rFonts w:ascii="Arial" w:hAnsi="Arial" w:cs="Arial"/>
          <w:shd w:val="clear" w:color="auto" w:fill="FFFFFF"/>
        </w:rPr>
        <w:t xml:space="preserve">This is indicated by the involvement of the government and opposition political parties (together with the main interest groups) in the design stage of the legislative proposals for renewable energy. </w:t>
      </w:r>
      <w:r w:rsidR="000B4765">
        <w:rPr>
          <w:rFonts w:ascii="Arial" w:hAnsi="Arial" w:cs="Arial"/>
          <w:shd w:val="clear" w:color="auto" w:fill="FFFFFF"/>
        </w:rPr>
        <w:t xml:space="preserve">Politicians </w:t>
      </w:r>
      <w:r w:rsidR="00834E29">
        <w:rPr>
          <w:rFonts w:ascii="Arial" w:hAnsi="Arial" w:cs="Arial"/>
          <w:shd w:val="clear" w:color="auto" w:fill="FFFFFF"/>
        </w:rPr>
        <w:t xml:space="preserve">are </w:t>
      </w:r>
      <w:r w:rsidR="000B4765">
        <w:rPr>
          <w:rFonts w:ascii="Arial" w:hAnsi="Arial" w:cs="Arial"/>
          <w:shd w:val="clear" w:color="auto" w:fill="FFFFFF"/>
        </w:rPr>
        <w:t xml:space="preserve">involved in the key decisions about policy along with the relevant interest groups. This suggests a more prominent role for the politicians in this case compared to those who might argue that the bulk of decisions are </w:t>
      </w:r>
      <w:r w:rsidR="00A24AA6">
        <w:rPr>
          <w:rFonts w:ascii="Arial" w:hAnsi="Arial" w:cs="Arial"/>
          <w:shd w:val="clear" w:color="auto" w:fill="FFFFFF"/>
        </w:rPr>
        <w:t xml:space="preserve">normally </w:t>
      </w:r>
      <w:r w:rsidR="000B4765">
        <w:rPr>
          <w:rFonts w:ascii="Arial" w:hAnsi="Arial" w:cs="Arial"/>
          <w:shd w:val="clear" w:color="auto" w:fill="FFFFFF"/>
        </w:rPr>
        <w:t>taken by civil servants talking to interest groups</w:t>
      </w:r>
      <w:r w:rsidR="00A24AA6">
        <w:rPr>
          <w:rFonts w:ascii="Arial" w:hAnsi="Arial" w:cs="Arial"/>
          <w:shd w:val="clear" w:color="auto" w:fill="FFFFFF"/>
        </w:rPr>
        <w:t xml:space="preserve"> (Cairney and Jordan 2013)</w:t>
      </w:r>
      <w:r w:rsidR="000B4765">
        <w:rPr>
          <w:rFonts w:ascii="Arial" w:hAnsi="Arial" w:cs="Arial"/>
          <w:shd w:val="clear" w:color="auto" w:fill="FFFFFF"/>
        </w:rPr>
        <w:t xml:space="preserve">. </w:t>
      </w:r>
      <w:r>
        <w:rPr>
          <w:rFonts w:ascii="Arial" w:hAnsi="Arial" w:cs="Arial"/>
          <w:shd w:val="clear" w:color="auto" w:fill="FFFFFF"/>
        </w:rPr>
        <w:t>The formal public consultation stage is of relatively small importance compared to this in</w:t>
      </w:r>
      <w:r w:rsidR="000B4765">
        <w:rPr>
          <w:rFonts w:ascii="Arial" w:hAnsi="Arial" w:cs="Arial"/>
          <w:shd w:val="clear" w:color="auto" w:fill="FFFFFF"/>
        </w:rPr>
        <w:t>i</w:t>
      </w:r>
      <w:r>
        <w:rPr>
          <w:rFonts w:ascii="Arial" w:hAnsi="Arial" w:cs="Arial"/>
          <w:shd w:val="clear" w:color="auto" w:fill="FFFFFF"/>
        </w:rPr>
        <w:t xml:space="preserve">tial agreement to policies. </w:t>
      </w:r>
    </w:p>
    <w:p w:rsidR="00D55D67" w:rsidRPr="0033582C" w:rsidRDefault="00D55D67" w:rsidP="005158B5">
      <w:pPr>
        <w:spacing w:line="480" w:lineRule="auto"/>
        <w:jc w:val="both"/>
        <w:rPr>
          <w:rFonts w:ascii="Arial" w:hAnsi="Arial" w:cs="Arial"/>
          <w:b/>
        </w:rPr>
      </w:pPr>
      <w:r w:rsidRPr="0033582C">
        <w:rPr>
          <w:rFonts w:ascii="Arial" w:hAnsi="Arial" w:cs="Arial"/>
          <w:b/>
        </w:rPr>
        <w:t xml:space="preserve">Renewable Energy Consultation in </w:t>
      </w:r>
      <w:r w:rsidR="007F4838">
        <w:rPr>
          <w:rFonts w:ascii="Arial" w:hAnsi="Arial" w:cs="Arial"/>
          <w:b/>
        </w:rPr>
        <w:t xml:space="preserve">the </w:t>
      </w:r>
      <w:r w:rsidRPr="0033582C">
        <w:rPr>
          <w:rFonts w:ascii="Arial" w:hAnsi="Arial" w:cs="Arial"/>
          <w:b/>
        </w:rPr>
        <w:t>UK</w:t>
      </w:r>
    </w:p>
    <w:p w:rsidR="00761F80" w:rsidRDefault="001800CA" w:rsidP="005158B5">
      <w:pPr>
        <w:spacing w:line="480" w:lineRule="auto"/>
        <w:jc w:val="both"/>
        <w:rPr>
          <w:rFonts w:ascii="Arial" w:hAnsi="Arial" w:cs="Arial"/>
        </w:rPr>
      </w:pPr>
      <w:r w:rsidRPr="0033582C">
        <w:rPr>
          <w:rFonts w:ascii="Arial" w:hAnsi="Arial" w:cs="Arial"/>
        </w:rPr>
        <w:t xml:space="preserve">The UK </w:t>
      </w:r>
      <w:r w:rsidR="008704D7" w:rsidRPr="0033582C">
        <w:rPr>
          <w:rFonts w:ascii="Arial" w:hAnsi="Arial" w:cs="Arial"/>
        </w:rPr>
        <w:t xml:space="preserve">was relatively slow to promote renewable energy and it was in 1991, following privatisation of the electricity industry, that the first commercial schemes were organised. However, the early programmes were relatively small (Mitchell and Connor 2004). It was in 2002 that the UK Government established the Renewables Obligation </w:t>
      </w:r>
      <w:r w:rsidR="00293573" w:rsidRPr="0033582C">
        <w:rPr>
          <w:rFonts w:ascii="Arial" w:hAnsi="Arial" w:cs="Arial"/>
        </w:rPr>
        <w:t xml:space="preserve">(RO) </w:t>
      </w:r>
      <w:r w:rsidR="008704D7" w:rsidRPr="0033582C">
        <w:rPr>
          <w:rFonts w:ascii="Arial" w:hAnsi="Arial" w:cs="Arial"/>
        </w:rPr>
        <w:t>which, including later amendments, aimed to supply at least 20 per cent of UK electricity from renewable</w:t>
      </w:r>
      <w:r w:rsidR="005C143F" w:rsidRPr="0033582C">
        <w:rPr>
          <w:rFonts w:ascii="Arial" w:hAnsi="Arial" w:cs="Arial"/>
        </w:rPr>
        <w:t>s</w:t>
      </w:r>
      <w:r w:rsidR="008704D7" w:rsidRPr="0033582C">
        <w:rPr>
          <w:rFonts w:ascii="Arial" w:hAnsi="Arial" w:cs="Arial"/>
        </w:rPr>
        <w:t xml:space="preserve"> by 2020.</w:t>
      </w:r>
      <w:r w:rsidR="005C143F" w:rsidRPr="0033582C">
        <w:rPr>
          <w:rFonts w:ascii="Arial" w:hAnsi="Arial" w:cs="Arial"/>
        </w:rPr>
        <w:t xml:space="preserve"> This is a ‘market based’ scheme under which electricity companies were set an obligation to generate increasing amounts of electricity from renewable energy. They receive financial penalties for each unit of energy that they fail to generate towards their target. </w:t>
      </w:r>
      <w:r w:rsidR="00761F80" w:rsidRPr="0033582C">
        <w:rPr>
          <w:rFonts w:ascii="Arial" w:hAnsi="Arial" w:cs="Arial"/>
        </w:rPr>
        <w:t xml:space="preserve">By 2013 renewable energy supplied around 11 per cent of electricity in the UK, the majority of that coming from wind power, two-thirds onshore and one third offshore. </w:t>
      </w:r>
      <w:r w:rsidR="00356F6F" w:rsidRPr="0033582C">
        <w:rPr>
          <w:rFonts w:ascii="Arial" w:hAnsi="Arial" w:cs="Arial"/>
        </w:rPr>
        <w:t>Biomass, including material used in coal fir</w:t>
      </w:r>
      <w:r w:rsidR="00457D94" w:rsidRPr="0033582C">
        <w:rPr>
          <w:rFonts w:ascii="Arial" w:hAnsi="Arial" w:cs="Arial"/>
        </w:rPr>
        <w:t xml:space="preserve">ed </w:t>
      </w:r>
      <w:r w:rsidR="00356F6F" w:rsidRPr="0033582C">
        <w:rPr>
          <w:rFonts w:ascii="Arial" w:hAnsi="Arial" w:cs="Arial"/>
        </w:rPr>
        <w:t>power stations converted to burn biomass, accounts for much of the rest of this 11 per cent (DECC 2014</w:t>
      </w:r>
      <w:r w:rsidR="00791F6E">
        <w:rPr>
          <w:rFonts w:ascii="Arial" w:hAnsi="Arial" w:cs="Arial"/>
        </w:rPr>
        <w:t>a</w:t>
      </w:r>
      <w:r w:rsidR="00356F6F" w:rsidRPr="0033582C">
        <w:rPr>
          <w:rFonts w:ascii="Arial" w:hAnsi="Arial" w:cs="Arial"/>
        </w:rPr>
        <w:t>).</w:t>
      </w:r>
    </w:p>
    <w:p w:rsidR="003A0952" w:rsidRDefault="003A0952" w:rsidP="005158B5">
      <w:pPr>
        <w:spacing w:line="480" w:lineRule="auto"/>
        <w:jc w:val="both"/>
        <w:rPr>
          <w:rFonts w:ascii="Arial" w:hAnsi="Arial" w:cs="Arial"/>
        </w:rPr>
      </w:pPr>
    </w:p>
    <w:p w:rsidR="007F327B" w:rsidRDefault="003A0952" w:rsidP="005158B5">
      <w:pPr>
        <w:spacing w:line="480" w:lineRule="auto"/>
        <w:jc w:val="both"/>
        <w:rPr>
          <w:rFonts w:ascii="Arial" w:hAnsi="Arial" w:cs="Arial"/>
        </w:rPr>
      </w:pPr>
      <w:r>
        <w:rPr>
          <w:rFonts w:ascii="Arial" w:hAnsi="Arial" w:cs="Arial"/>
        </w:rPr>
        <w:t>The most recent major reform</w:t>
      </w:r>
      <w:r w:rsidR="005C143F" w:rsidRPr="0033582C">
        <w:rPr>
          <w:rFonts w:ascii="Arial" w:hAnsi="Arial" w:cs="Arial"/>
        </w:rPr>
        <w:t xml:space="preserve"> of renewable energy involves consolidation of incentives for low carbon sources in ‘Electricity Market Reform’</w:t>
      </w:r>
      <w:r w:rsidR="00457D94" w:rsidRPr="0033582C">
        <w:rPr>
          <w:rFonts w:ascii="Arial" w:hAnsi="Arial" w:cs="Arial"/>
        </w:rPr>
        <w:t xml:space="preserve"> (EMR)</w:t>
      </w:r>
      <w:r w:rsidR="005C143F" w:rsidRPr="0033582C">
        <w:rPr>
          <w:rFonts w:ascii="Arial" w:hAnsi="Arial" w:cs="Arial"/>
        </w:rPr>
        <w:t>.</w:t>
      </w:r>
      <w:r w:rsidR="00457D94" w:rsidRPr="0033582C">
        <w:rPr>
          <w:rFonts w:ascii="Arial" w:hAnsi="Arial" w:cs="Arial"/>
        </w:rPr>
        <w:t>We shall focus on this change. EMR</w:t>
      </w:r>
      <w:r w:rsidR="00557515" w:rsidRPr="0033582C">
        <w:rPr>
          <w:rFonts w:ascii="Arial" w:hAnsi="Arial" w:cs="Arial"/>
        </w:rPr>
        <w:t xml:space="preserve"> involves adopting a type of ‘feed-in tariff’</w:t>
      </w:r>
      <w:r w:rsidR="00696C6C">
        <w:rPr>
          <w:rFonts w:ascii="Arial" w:hAnsi="Arial" w:cs="Arial"/>
        </w:rPr>
        <w:t xml:space="preserve">. Low </w:t>
      </w:r>
      <w:r w:rsidR="00557515" w:rsidRPr="0033582C">
        <w:rPr>
          <w:rFonts w:ascii="Arial" w:hAnsi="Arial" w:cs="Arial"/>
        </w:rPr>
        <w:t xml:space="preserve">carbon electricity generators are assured of receiving a set price over the long term, with different technologies being given different set prices and differing contract lengths. The reform includes both renewable energy and nuclear power (for which previously premium prices were not available). </w:t>
      </w:r>
    </w:p>
    <w:p w:rsidR="003A0952" w:rsidRPr="0033582C" w:rsidRDefault="003A0952" w:rsidP="005158B5">
      <w:pPr>
        <w:spacing w:line="480" w:lineRule="auto"/>
        <w:jc w:val="both"/>
        <w:rPr>
          <w:rFonts w:ascii="Arial" w:hAnsi="Arial" w:cs="Arial"/>
        </w:rPr>
      </w:pPr>
    </w:p>
    <w:p w:rsidR="00FE64D2" w:rsidRDefault="00B05CD8" w:rsidP="005158B5">
      <w:pPr>
        <w:spacing w:line="480" w:lineRule="auto"/>
        <w:jc w:val="both"/>
        <w:rPr>
          <w:rFonts w:ascii="Arial" w:hAnsi="Arial" w:cs="Arial"/>
        </w:rPr>
      </w:pPr>
      <w:r w:rsidRPr="0033582C">
        <w:rPr>
          <w:rFonts w:ascii="Arial" w:hAnsi="Arial" w:cs="Arial"/>
        </w:rPr>
        <w:t>At the time of the adoption of EMR i</w:t>
      </w:r>
      <w:r w:rsidR="00557515" w:rsidRPr="0033582C">
        <w:rPr>
          <w:rFonts w:ascii="Arial" w:hAnsi="Arial" w:cs="Arial"/>
        </w:rPr>
        <w:t xml:space="preserve">n </w:t>
      </w:r>
      <w:r w:rsidR="003A0952">
        <w:rPr>
          <w:rFonts w:ascii="Arial" w:hAnsi="Arial" w:cs="Arial"/>
        </w:rPr>
        <w:t xml:space="preserve">2013, </w:t>
      </w:r>
      <w:r w:rsidR="00557515" w:rsidRPr="0033582C">
        <w:rPr>
          <w:rFonts w:ascii="Arial" w:hAnsi="Arial" w:cs="Arial"/>
        </w:rPr>
        <w:t xml:space="preserve">there </w:t>
      </w:r>
      <w:r w:rsidRPr="0033582C">
        <w:rPr>
          <w:rFonts w:ascii="Arial" w:hAnsi="Arial" w:cs="Arial"/>
        </w:rPr>
        <w:t>was</w:t>
      </w:r>
      <w:r w:rsidR="00557515" w:rsidRPr="0033582C">
        <w:rPr>
          <w:rFonts w:ascii="Arial" w:hAnsi="Arial" w:cs="Arial"/>
        </w:rPr>
        <w:t xml:space="preserve"> consensus</w:t>
      </w:r>
      <w:r w:rsidR="003A0952">
        <w:rPr>
          <w:rFonts w:ascii="Arial" w:hAnsi="Arial" w:cs="Arial"/>
        </w:rPr>
        <w:t xml:space="preserve"> in the UK</w:t>
      </w:r>
      <w:r w:rsidR="00557515" w:rsidRPr="0033582C">
        <w:rPr>
          <w:rFonts w:ascii="Arial" w:hAnsi="Arial" w:cs="Arial"/>
        </w:rPr>
        <w:t xml:space="preserve"> among the biggest three parties, Conservatives, Liberal Democrats and Labour, about the need to give i</w:t>
      </w:r>
      <w:r w:rsidR="007F327B" w:rsidRPr="0033582C">
        <w:rPr>
          <w:rFonts w:ascii="Arial" w:hAnsi="Arial" w:cs="Arial"/>
        </w:rPr>
        <w:t>ncentives to low carbon sources including renewable energy</w:t>
      </w:r>
      <w:r w:rsidR="0063311F">
        <w:rPr>
          <w:rFonts w:ascii="Arial" w:hAnsi="Arial" w:cs="Arial"/>
        </w:rPr>
        <w:t>,</w:t>
      </w:r>
      <w:r w:rsidR="007F327B" w:rsidRPr="0033582C">
        <w:rPr>
          <w:rFonts w:ascii="Arial" w:hAnsi="Arial" w:cs="Arial"/>
        </w:rPr>
        <w:t xml:space="preserve"> nuclear power</w:t>
      </w:r>
      <w:r w:rsidR="0063311F">
        <w:rPr>
          <w:rFonts w:ascii="Arial" w:hAnsi="Arial" w:cs="Arial"/>
        </w:rPr>
        <w:t xml:space="preserve"> and carbon capture and storage</w:t>
      </w:r>
      <w:r w:rsidR="00696C6C">
        <w:rPr>
          <w:rFonts w:ascii="Arial" w:hAnsi="Arial" w:cs="Arial"/>
        </w:rPr>
        <w:t>, although there are differences in emphasis among the parties.</w:t>
      </w:r>
      <w:r w:rsidR="009D4E82">
        <w:rPr>
          <w:rFonts w:ascii="Arial" w:hAnsi="Arial" w:cs="Arial"/>
        </w:rPr>
        <w:t xml:space="preserve"> Conservatives were initially cool in their response to the ‘Renewables Obligation’ introduced by the Labour Government in 2002. </w:t>
      </w:r>
    </w:p>
    <w:p w:rsidR="00FE64D2" w:rsidRDefault="00FE64D2" w:rsidP="005158B5">
      <w:pPr>
        <w:spacing w:line="480" w:lineRule="auto"/>
        <w:jc w:val="both"/>
        <w:rPr>
          <w:rFonts w:ascii="Arial" w:hAnsi="Arial" w:cs="Arial"/>
        </w:rPr>
      </w:pPr>
    </w:p>
    <w:p w:rsidR="00D55D67" w:rsidRDefault="009D4E82" w:rsidP="005158B5">
      <w:pPr>
        <w:spacing w:line="480" w:lineRule="auto"/>
        <w:jc w:val="both"/>
        <w:rPr>
          <w:rFonts w:ascii="Arial" w:hAnsi="Arial" w:cs="Arial"/>
        </w:rPr>
      </w:pPr>
      <w:r>
        <w:rPr>
          <w:rFonts w:ascii="Arial" w:hAnsi="Arial" w:cs="Arial"/>
        </w:rPr>
        <w:t>However</w:t>
      </w:r>
      <w:r w:rsidR="003A0952">
        <w:rPr>
          <w:rFonts w:ascii="Arial" w:hAnsi="Arial" w:cs="Arial"/>
        </w:rPr>
        <w:t>,</w:t>
      </w:r>
      <w:r>
        <w:rPr>
          <w:rFonts w:ascii="Arial" w:hAnsi="Arial" w:cs="Arial"/>
        </w:rPr>
        <w:t xml:space="preserve"> after David Cameron became Leader he was keen to pursue a ‘green’ agenda, and this included adopting the renewable energy targets. This included the policy of promoting onshore windpower, although this policy was not always popular among the backbenches. The Liberal Democrats were enthusiastic about renewable energy, but they</w:t>
      </w:r>
      <w:r w:rsidR="007F327B" w:rsidRPr="0033582C">
        <w:rPr>
          <w:rFonts w:ascii="Arial" w:hAnsi="Arial" w:cs="Arial"/>
        </w:rPr>
        <w:t xml:space="preserve"> were opposed to offering premium prices to new nuclear power stations prior to joining the Coalition Government in 2010.</w:t>
      </w:r>
      <w:r w:rsidR="004649A8" w:rsidRPr="0033582C">
        <w:rPr>
          <w:rFonts w:ascii="Arial" w:hAnsi="Arial" w:cs="Arial"/>
        </w:rPr>
        <w:t xml:space="preserve"> In addition, the Labour Government, which left office in 2010, had promoted the objective of building new nuclear power stations, but they had not reached the stage of proposing that they be offered premium price contracts.</w:t>
      </w:r>
      <w:r w:rsidR="00612422" w:rsidRPr="0033582C">
        <w:rPr>
          <w:rFonts w:ascii="Arial" w:hAnsi="Arial" w:cs="Arial"/>
        </w:rPr>
        <w:t xml:space="preserve"> However, policy discussion document</w:t>
      </w:r>
      <w:r w:rsidR="00E93B39" w:rsidRPr="0033582C">
        <w:rPr>
          <w:rFonts w:ascii="Arial" w:hAnsi="Arial" w:cs="Arial"/>
        </w:rPr>
        <w:t>s</w:t>
      </w:r>
      <w:r w:rsidR="00612422" w:rsidRPr="0033582C">
        <w:rPr>
          <w:rFonts w:ascii="Arial" w:hAnsi="Arial" w:cs="Arial"/>
        </w:rPr>
        <w:t xml:space="preserve"> issued just before they left office did point in this general directio</w:t>
      </w:r>
      <w:r w:rsidR="00696C6C">
        <w:rPr>
          <w:rFonts w:ascii="Arial" w:hAnsi="Arial" w:cs="Arial"/>
        </w:rPr>
        <w:t xml:space="preserve">n </w:t>
      </w:r>
      <w:r w:rsidR="00E93B39" w:rsidRPr="0033582C">
        <w:rPr>
          <w:rFonts w:ascii="Arial" w:hAnsi="Arial" w:cs="Arial"/>
        </w:rPr>
        <w:t>(OFGEM 2010</w:t>
      </w:r>
      <w:r w:rsidR="00696C6C">
        <w:rPr>
          <w:rFonts w:ascii="Arial" w:hAnsi="Arial" w:cs="Arial"/>
        </w:rPr>
        <w:t xml:space="preserve">; </w:t>
      </w:r>
      <w:r w:rsidR="00E93B39" w:rsidRPr="0033582C">
        <w:rPr>
          <w:rFonts w:ascii="Arial" w:hAnsi="Arial" w:cs="Arial"/>
        </w:rPr>
        <w:t>HM Treasury and DECC 2010).</w:t>
      </w:r>
    </w:p>
    <w:p w:rsidR="003A0952" w:rsidRPr="0033582C" w:rsidRDefault="003A0952" w:rsidP="005158B5">
      <w:pPr>
        <w:spacing w:line="480" w:lineRule="auto"/>
        <w:jc w:val="both"/>
        <w:rPr>
          <w:rFonts w:ascii="Arial" w:hAnsi="Arial" w:cs="Arial"/>
        </w:rPr>
      </w:pPr>
    </w:p>
    <w:p w:rsidR="001066EB" w:rsidRDefault="001A3058" w:rsidP="005158B5">
      <w:pPr>
        <w:spacing w:line="480" w:lineRule="auto"/>
        <w:jc w:val="both"/>
        <w:rPr>
          <w:rFonts w:ascii="Arial" w:hAnsi="Arial" w:cs="Arial"/>
        </w:rPr>
      </w:pPr>
      <w:r w:rsidRPr="0033582C">
        <w:rPr>
          <w:rFonts w:ascii="Arial" w:hAnsi="Arial" w:cs="Arial"/>
        </w:rPr>
        <w:t>The Committee on Climate Change</w:t>
      </w:r>
      <w:r w:rsidR="00F6778A">
        <w:rPr>
          <w:rFonts w:ascii="Arial" w:hAnsi="Arial" w:cs="Arial"/>
        </w:rPr>
        <w:t xml:space="preserve"> (CCC)</w:t>
      </w:r>
      <w:r w:rsidRPr="0033582C">
        <w:rPr>
          <w:rFonts w:ascii="Arial" w:hAnsi="Arial" w:cs="Arial"/>
        </w:rPr>
        <w:t xml:space="preserve"> also made parallel proposals as part of their role to comment on progress towards achieving carbon budgets. This body was set up as a result of the 2008 Climate Change Act. </w:t>
      </w:r>
      <w:r w:rsidR="008F554E" w:rsidRPr="0033582C">
        <w:rPr>
          <w:rFonts w:ascii="Arial" w:hAnsi="Arial" w:cs="Arial"/>
        </w:rPr>
        <w:t xml:space="preserve">Academics </w:t>
      </w:r>
      <w:r w:rsidR="008F554E">
        <w:rPr>
          <w:rFonts w:ascii="Arial" w:hAnsi="Arial" w:cs="Arial"/>
        </w:rPr>
        <w:t xml:space="preserve">form the </w:t>
      </w:r>
      <w:r w:rsidR="0095053D">
        <w:rPr>
          <w:rFonts w:ascii="Arial" w:hAnsi="Arial" w:cs="Arial"/>
        </w:rPr>
        <w:t xml:space="preserve">large </w:t>
      </w:r>
      <w:r w:rsidR="008F554E">
        <w:rPr>
          <w:rFonts w:ascii="Arial" w:hAnsi="Arial" w:cs="Arial"/>
        </w:rPr>
        <w:t xml:space="preserve">majority of the Governing Board of the </w:t>
      </w:r>
      <w:r w:rsidR="008F554E" w:rsidRPr="0033582C">
        <w:rPr>
          <w:rFonts w:ascii="Arial" w:hAnsi="Arial" w:cs="Arial"/>
        </w:rPr>
        <w:t>Committee, but do not lead the organisation.</w:t>
      </w:r>
      <w:r w:rsidR="00FE64D2">
        <w:rPr>
          <w:rFonts w:ascii="Arial" w:hAnsi="Arial" w:cs="Arial"/>
        </w:rPr>
        <w:t xml:space="preserve"> </w:t>
      </w:r>
      <w:r w:rsidR="00C761B5" w:rsidRPr="0033582C">
        <w:rPr>
          <w:rFonts w:ascii="Arial" w:hAnsi="Arial" w:cs="Arial"/>
        </w:rPr>
        <w:t>T</w:t>
      </w:r>
      <w:r w:rsidRPr="0033582C">
        <w:rPr>
          <w:rFonts w:ascii="Arial" w:hAnsi="Arial" w:cs="Arial"/>
        </w:rPr>
        <w:t>he C</w:t>
      </w:r>
      <w:r w:rsidR="00F6778A">
        <w:rPr>
          <w:rFonts w:ascii="Arial" w:hAnsi="Arial" w:cs="Arial"/>
        </w:rPr>
        <w:t xml:space="preserve">CC </w:t>
      </w:r>
      <w:r w:rsidRPr="0033582C">
        <w:rPr>
          <w:rFonts w:ascii="Arial" w:hAnsi="Arial" w:cs="Arial"/>
        </w:rPr>
        <w:t>is headed by a political appointee</w:t>
      </w:r>
      <w:r w:rsidR="00C761B5" w:rsidRPr="0033582C">
        <w:rPr>
          <w:rFonts w:ascii="Arial" w:hAnsi="Arial" w:cs="Arial"/>
        </w:rPr>
        <w:t xml:space="preserve"> of the Government</w:t>
      </w:r>
      <w:r w:rsidR="0095053D">
        <w:rPr>
          <w:rFonts w:ascii="Arial" w:hAnsi="Arial" w:cs="Arial"/>
        </w:rPr>
        <w:t>.</w:t>
      </w:r>
      <w:r w:rsidRPr="0033582C">
        <w:rPr>
          <w:rFonts w:ascii="Arial" w:hAnsi="Arial" w:cs="Arial"/>
        </w:rPr>
        <w:t xml:space="preserve"> At the time of writing the incumbent is Lord Deben, a former Conservative MP and </w:t>
      </w:r>
      <w:r w:rsidR="00C761B5" w:rsidRPr="0033582C">
        <w:rPr>
          <w:rFonts w:ascii="Arial" w:hAnsi="Arial" w:cs="Arial"/>
        </w:rPr>
        <w:t xml:space="preserve">environment </w:t>
      </w:r>
      <w:r w:rsidRPr="0033582C">
        <w:rPr>
          <w:rFonts w:ascii="Arial" w:hAnsi="Arial" w:cs="Arial"/>
        </w:rPr>
        <w:t xml:space="preserve">cabinet minister. The </w:t>
      </w:r>
      <w:r w:rsidR="0095053D">
        <w:rPr>
          <w:rFonts w:ascii="Arial" w:hAnsi="Arial" w:cs="Arial"/>
        </w:rPr>
        <w:t>Committee has a permanent Secretariat</w:t>
      </w:r>
      <w:r w:rsidRPr="0033582C">
        <w:rPr>
          <w:rFonts w:ascii="Arial" w:hAnsi="Arial" w:cs="Arial"/>
        </w:rPr>
        <w:t xml:space="preserve">, with some of the officials being former civil servants themselves. </w:t>
      </w:r>
      <w:r w:rsidR="0095053D">
        <w:rPr>
          <w:rFonts w:ascii="Arial" w:hAnsi="Arial" w:cs="Arial"/>
        </w:rPr>
        <w:t>Its CEO (David Kennedy) has worked with the UK Government and the World Bank before, although he holds a PhD</w:t>
      </w:r>
      <w:r w:rsidR="005A5A8E">
        <w:rPr>
          <w:rFonts w:ascii="Arial" w:hAnsi="Arial" w:cs="Arial"/>
        </w:rPr>
        <w:t>.</w:t>
      </w:r>
      <w:r w:rsidR="00D67FA7">
        <w:rPr>
          <w:rFonts w:ascii="Arial" w:hAnsi="Arial" w:cs="Arial"/>
        </w:rPr>
        <w:t>Amongst its activities t</w:t>
      </w:r>
      <w:r w:rsidR="001066EB">
        <w:rPr>
          <w:rFonts w:ascii="Arial" w:hAnsi="Arial" w:cs="Arial"/>
        </w:rPr>
        <w:t>he C</w:t>
      </w:r>
      <w:r w:rsidR="00F6778A">
        <w:rPr>
          <w:rFonts w:ascii="Arial" w:hAnsi="Arial" w:cs="Arial"/>
        </w:rPr>
        <w:t>CC</w:t>
      </w:r>
      <w:r w:rsidR="001066EB">
        <w:rPr>
          <w:rFonts w:ascii="Arial" w:hAnsi="Arial" w:cs="Arial"/>
        </w:rPr>
        <w:t xml:space="preserve"> was asked to prepare advice in order to try to resolve differences in emphasis between the coalition partners over nuclear power (interview with representative of C</w:t>
      </w:r>
      <w:r w:rsidR="00F6778A">
        <w:rPr>
          <w:rFonts w:ascii="Arial" w:hAnsi="Arial" w:cs="Arial"/>
        </w:rPr>
        <w:t>CC</w:t>
      </w:r>
      <w:r w:rsidR="001066EB">
        <w:rPr>
          <w:rFonts w:ascii="Arial" w:hAnsi="Arial" w:cs="Arial"/>
        </w:rPr>
        <w:t xml:space="preserve"> 16/12/2013)</w:t>
      </w:r>
      <w:r w:rsidR="001066EB" w:rsidRPr="00CA7074">
        <w:rPr>
          <w:rFonts w:ascii="Arial" w:hAnsi="Arial" w:cs="Arial"/>
        </w:rPr>
        <w:t xml:space="preserve">. </w:t>
      </w:r>
      <w:r w:rsidR="00C73440">
        <w:rPr>
          <w:rFonts w:ascii="Arial" w:hAnsi="Arial" w:cs="Arial"/>
        </w:rPr>
        <w:t>The body which prepared for the establishment of the C</w:t>
      </w:r>
      <w:r w:rsidR="00F6778A">
        <w:rPr>
          <w:rFonts w:ascii="Arial" w:hAnsi="Arial" w:cs="Arial"/>
        </w:rPr>
        <w:t>CC</w:t>
      </w:r>
      <w:r w:rsidR="00C73440">
        <w:rPr>
          <w:rFonts w:ascii="Arial" w:hAnsi="Arial" w:cs="Arial"/>
        </w:rPr>
        <w:t xml:space="preserve"> contained </w:t>
      </w:r>
      <w:r w:rsidR="006F383D">
        <w:rPr>
          <w:rFonts w:ascii="Arial" w:hAnsi="Arial" w:cs="Arial"/>
        </w:rPr>
        <w:t>one or more</w:t>
      </w:r>
      <w:r w:rsidR="00C73440">
        <w:rPr>
          <w:rFonts w:ascii="Arial" w:hAnsi="Arial" w:cs="Arial"/>
        </w:rPr>
        <w:t xml:space="preserve"> representatives of British Energy, the company owned by EDF which runs most nuclear power stations in the UK (Davies 2011)</w:t>
      </w:r>
      <w:r w:rsidR="003A0952">
        <w:rPr>
          <w:rFonts w:ascii="Arial" w:hAnsi="Arial" w:cs="Arial"/>
        </w:rPr>
        <w:t>.</w:t>
      </w:r>
    </w:p>
    <w:p w:rsidR="003A0952" w:rsidRDefault="003A0952" w:rsidP="005158B5">
      <w:pPr>
        <w:spacing w:line="480" w:lineRule="auto"/>
        <w:jc w:val="both"/>
        <w:rPr>
          <w:rFonts w:ascii="Arial" w:hAnsi="Arial" w:cs="Arial"/>
        </w:rPr>
      </w:pPr>
    </w:p>
    <w:p w:rsidR="0086509E" w:rsidRDefault="0086509E" w:rsidP="005158B5">
      <w:pPr>
        <w:spacing w:line="480" w:lineRule="auto"/>
        <w:jc w:val="both"/>
        <w:rPr>
          <w:rFonts w:ascii="Arial" w:hAnsi="Arial" w:cs="Arial"/>
        </w:rPr>
      </w:pPr>
      <w:r>
        <w:rPr>
          <w:rFonts w:ascii="Arial" w:hAnsi="Arial" w:cs="Arial"/>
        </w:rPr>
        <w:t xml:space="preserve">There is an academically based energy research organisation in the form of the UK Energy Research Council (UKERC). </w:t>
      </w:r>
      <w:r w:rsidR="00F6778A">
        <w:rPr>
          <w:rFonts w:ascii="Arial" w:hAnsi="Arial" w:cs="Arial"/>
        </w:rPr>
        <w:t>T</w:t>
      </w:r>
      <w:r>
        <w:rPr>
          <w:rFonts w:ascii="Arial" w:hAnsi="Arial" w:cs="Arial"/>
        </w:rPr>
        <w:t>he role of this body is to organise energy research and disburse funding for various research purposes rather than advise government on its policy proposals or implementation</w:t>
      </w:r>
      <w:r w:rsidR="00F6778A">
        <w:rPr>
          <w:rFonts w:ascii="Arial" w:hAnsi="Arial" w:cs="Arial"/>
        </w:rPr>
        <w:t xml:space="preserve">, although </w:t>
      </w:r>
      <w:r>
        <w:rPr>
          <w:rFonts w:ascii="Arial" w:hAnsi="Arial" w:cs="Arial"/>
        </w:rPr>
        <w:t>individual academics can, and sometimes do, make inputs into government consultations about energy policy.</w:t>
      </w:r>
    </w:p>
    <w:p w:rsidR="003A0952" w:rsidRDefault="003A0952" w:rsidP="005158B5">
      <w:pPr>
        <w:spacing w:line="480" w:lineRule="auto"/>
        <w:jc w:val="both"/>
        <w:rPr>
          <w:rFonts w:ascii="Arial" w:hAnsi="Arial" w:cs="Arial"/>
        </w:rPr>
      </w:pPr>
    </w:p>
    <w:p w:rsidR="00EA2C61" w:rsidRDefault="007B135E" w:rsidP="005158B5">
      <w:pPr>
        <w:spacing w:line="480" w:lineRule="auto"/>
        <w:jc w:val="both"/>
        <w:rPr>
          <w:rFonts w:ascii="Arial" w:hAnsi="Arial" w:cs="Arial"/>
        </w:rPr>
      </w:pPr>
      <w:r>
        <w:rPr>
          <w:rFonts w:ascii="Arial" w:hAnsi="Arial" w:cs="Arial"/>
        </w:rPr>
        <w:t xml:space="preserve">Some key outlines of what emerged as EMR </w:t>
      </w:r>
      <w:r w:rsidR="00576A5E">
        <w:rPr>
          <w:rFonts w:ascii="Arial" w:hAnsi="Arial" w:cs="Arial"/>
        </w:rPr>
        <w:t>appeared in the Coalition Agreement made between the Conservatives and Liberal Democrats before they formally took office</w:t>
      </w:r>
      <w:r w:rsidR="001A06B0">
        <w:rPr>
          <w:rFonts w:ascii="Arial" w:hAnsi="Arial" w:cs="Arial"/>
        </w:rPr>
        <w:t xml:space="preserve"> (Cabinet Office 2010</w:t>
      </w:r>
      <w:r w:rsidR="007409E8">
        <w:rPr>
          <w:rFonts w:ascii="Arial" w:hAnsi="Arial" w:cs="Arial"/>
        </w:rPr>
        <w:t>, 16-17</w:t>
      </w:r>
      <w:r w:rsidR="001A06B0">
        <w:rPr>
          <w:rFonts w:ascii="Arial" w:hAnsi="Arial" w:cs="Arial"/>
        </w:rPr>
        <w:t>)</w:t>
      </w:r>
      <w:r w:rsidR="00576A5E">
        <w:rPr>
          <w:rFonts w:ascii="Arial" w:hAnsi="Arial" w:cs="Arial"/>
        </w:rPr>
        <w:t>. This implies ministerial involvement in setting out the strategic framework constituting the later legislation.</w:t>
      </w:r>
      <w:r w:rsidR="00FE64D2">
        <w:rPr>
          <w:rFonts w:ascii="Arial" w:hAnsi="Arial" w:cs="Arial"/>
        </w:rPr>
        <w:t xml:space="preserve"> </w:t>
      </w:r>
      <w:r w:rsidR="00612422" w:rsidRPr="0033582C">
        <w:rPr>
          <w:rFonts w:ascii="Arial" w:hAnsi="Arial" w:cs="Arial"/>
        </w:rPr>
        <w:t xml:space="preserve">The Conservative-Liberal Democrat Coalition produced a ‘green’ ‘consultative’ document outlining its proposals for Electricity Market Reform in December 2010 (DECC 2010). </w:t>
      </w:r>
      <w:r w:rsidR="0006738B">
        <w:rPr>
          <w:rFonts w:ascii="Arial" w:hAnsi="Arial" w:cs="Arial"/>
        </w:rPr>
        <w:t>The C</w:t>
      </w:r>
      <w:r w:rsidR="0084517E">
        <w:rPr>
          <w:rFonts w:ascii="Arial" w:hAnsi="Arial" w:cs="Arial"/>
        </w:rPr>
        <w:t xml:space="preserve">CC’s </w:t>
      </w:r>
      <w:r w:rsidR="0006738B">
        <w:rPr>
          <w:rFonts w:ascii="Arial" w:hAnsi="Arial" w:cs="Arial"/>
        </w:rPr>
        <w:t>‘Fourth Carbon Budget’ (Committee on Climate Change 2010) was published just a few days before the publication of the Government’s Green Paper on E</w:t>
      </w:r>
      <w:r w:rsidR="007C1999">
        <w:rPr>
          <w:rFonts w:ascii="Arial" w:hAnsi="Arial" w:cs="Arial"/>
        </w:rPr>
        <w:t>MR</w:t>
      </w:r>
      <w:r w:rsidR="0006738B">
        <w:rPr>
          <w:rFonts w:ascii="Arial" w:hAnsi="Arial" w:cs="Arial"/>
        </w:rPr>
        <w:t xml:space="preserve">, and it seemed to contain broadly similar proposals. </w:t>
      </w:r>
      <w:r w:rsidR="00612422" w:rsidRPr="0033582C">
        <w:rPr>
          <w:rFonts w:ascii="Arial" w:hAnsi="Arial" w:cs="Arial"/>
        </w:rPr>
        <w:t>The</w:t>
      </w:r>
      <w:r w:rsidR="0006738B">
        <w:rPr>
          <w:rFonts w:ascii="Arial" w:hAnsi="Arial" w:cs="Arial"/>
        </w:rPr>
        <w:t xml:space="preserve"> Government’s proposals </w:t>
      </w:r>
      <w:r w:rsidR="00612422" w:rsidRPr="0033582C">
        <w:rPr>
          <w:rFonts w:ascii="Arial" w:hAnsi="Arial" w:cs="Arial"/>
        </w:rPr>
        <w:t xml:space="preserve">had not been subject to formal </w:t>
      </w:r>
      <w:r w:rsidR="00805BFE">
        <w:rPr>
          <w:rFonts w:ascii="Arial" w:hAnsi="Arial" w:cs="Arial"/>
        </w:rPr>
        <w:t xml:space="preserve">(or so far as we can see, informal) </w:t>
      </w:r>
      <w:r w:rsidR="00612422" w:rsidRPr="0033582C">
        <w:rPr>
          <w:rFonts w:ascii="Arial" w:hAnsi="Arial" w:cs="Arial"/>
        </w:rPr>
        <w:t>discussions with other parties</w:t>
      </w:r>
      <w:r w:rsidR="000C2B67" w:rsidRPr="0033582C">
        <w:rPr>
          <w:rFonts w:ascii="Arial" w:hAnsi="Arial" w:cs="Arial"/>
        </w:rPr>
        <w:t>. Indeed</w:t>
      </w:r>
      <w:r w:rsidR="003A0952">
        <w:rPr>
          <w:rFonts w:ascii="Arial" w:hAnsi="Arial" w:cs="Arial"/>
        </w:rPr>
        <w:t>,</w:t>
      </w:r>
      <w:r w:rsidR="000C2B67" w:rsidRPr="0033582C">
        <w:rPr>
          <w:rFonts w:ascii="Arial" w:hAnsi="Arial" w:cs="Arial"/>
        </w:rPr>
        <w:t xml:space="preserve"> even the biggest electricity industry trade group, Energy U</w:t>
      </w:r>
      <w:r w:rsidR="002409EA" w:rsidRPr="0033582C">
        <w:rPr>
          <w:rFonts w:ascii="Arial" w:hAnsi="Arial" w:cs="Arial"/>
        </w:rPr>
        <w:t>K</w:t>
      </w:r>
      <w:r w:rsidR="000C2B67" w:rsidRPr="0033582C">
        <w:rPr>
          <w:rFonts w:ascii="Arial" w:hAnsi="Arial" w:cs="Arial"/>
        </w:rPr>
        <w:t xml:space="preserve">, was not </w:t>
      </w:r>
      <w:r w:rsidR="00DA41AC">
        <w:rPr>
          <w:rFonts w:ascii="Arial" w:hAnsi="Arial" w:cs="Arial"/>
        </w:rPr>
        <w:t>itself</w:t>
      </w:r>
      <w:r w:rsidR="000C2B67" w:rsidRPr="0033582C">
        <w:rPr>
          <w:rFonts w:ascii="Arial" w:hAnsi="Arial" w:cs="Arial"/>
        </w:rPr>
        <w:t xml:space="preserve"> involved in discussing the proposals before they were published (interview with representative of Energy UK, 7/08/2013)</w:t>
      </w:r>
      <w:r w:rsidR="00DA41AC">
        <w:rPr>
          <w:rFonts w:ascii="Arial" w:hAnsi="Arial" w:cs="Arial"/>
        </w:rPr>
        <w:t>.</w:t>
      </w:r>
      <w:r w:rsidR="000C2B67" w:rsidRPr="0033582C">
        <w:rPr>
          <w:rFonts w:ascii="Arial" w:hAnsi="Arial" w:cs="Arial"/>
        </w:rPr>
        <w:t>H</w:t>
      </w:r>
      <w:r w:rsidR="00612422" w:rsidRPr="0033582C">
        <w:rPr>
          <w:rFonts w:ascii="Arial" w:hAnsi="Arial" w:cs="Arial"/>
        </w:rPr>
        <w:t>owever</w:t>
      </w:r>
      <w:r w:rsidR="005B6B03">
        <w:rPr>
          <w:rFonts w:ascii="Arial" w:hAnsi="Arial" w:cs="Arial"/>
        </w:rPr>
        <w:t>,</w:t>
      </w:r>
      <w:r w:rsidR="00FE64D2">
        <w:rPr>
          <w:rFonts w:ascii="Arial" w:hAnsi="Arial" w:cs="Arial"/>
        </w:rPr>
        <w:t xml:space="preserve"> </w:t>
      </w:r>
      <w:r w:rsidR="00DA41AC">
        <w:rPr>
          <w:rFonts w:ascii="Arial" w:hAnsi="Arial" w:cs="Arial"/>
        </w:rPr>
        <w:t>major</w:t>
      </w:r>
      <w:r w:rsidR="00E93B39" w:rsidRPr="0033582C">
        <w:rPr>
          <w:rFonts w:ascii="Arial" w:hAnsi="Arial" w:cs="Arial"/>
        </w:rPr>
        <w:t xml:space="preserve"> electricity companies had </w:t>
      </w:r>
      <w:r w:rsidR="00AA6B7F">
        <w:rPr>
          <w:rFonts w:ascii="Arial" w:hAnsi="Arial" w:cs="Arial"/>
        </w:rPr>
        <w:t>embedded influence</w:t>
      </w:r>
      <w:r w:rsidR="00E93B39" w:rsidRPr="0033582C">
        <w:rPr>
          <w:rFonts w:ascii="Arial" w:hAnsi="Arial" w:cs="Arial"/>
        </w:rPr>
        <w:t xml:space="preserve"> with Government, much more so than compared with environmental groups</w:t>
      </w:r>
      <w:r w:rsidR="000643D0">
        <w:rPr>
          <w:rFonts w:ascii="Arial" w:hAnsi="Arial" w:cs="Arial"/>
        </w:rPr>
        <w:t xml:space="preserve"> </w:t>
      </w:r>
      <w:r w:rsidR="00584DF0" w:rsidRPr="0033582C">
        <w:rPr>
          <w:rFonts w:ascii="Arial" w:hAnsi="Arial" w:cs="Arial"/>
        </w:rPr>
        <w:t>(</w:t>
      </w:r>
      <w:r w:rsidR="00AA6B7F">
        <w:rPr>
          <w:rFonts w:ascii="Arial" w:hAnsi="Arial" w:cs="Arial"/>
        </w:rPr>
        <w:t>Unsigned</w:t>
      </w:r>
      <w:r w:rsidR="00584DF0" w:rsidRPr="0033582C">
        <w:rPr>
          <w:rFonts w:ascii="Arial" w:hAnsi="Arial" w:cs="Arial"/>
        </w:rPr>
        <w:t xml:space="preserve"> 2011)</w:t>
      </w:r>
      <w:r w:rsidR="00E93B39" w:rsidRPr="0033582C">
        <w:rPr>
          <w:rFonts w:ascii="Arial" w:hAnsi="Arial" w:cs="Arial"/>
        </w:rPr>
        <w:t>.</w:t>
      </w:r>
    </w:p>
    <w:p w:rsidR="005B6B03" w:rsidRPr="0033582C" w:rsidRDefault="005B6B03" w:rsidP="005158B5">
      <w:pPr>
        <w:spacing w:line="480" w:lineRule="auto"/>
        <w:jc w:val="both"/>
        <w:rPr>
          <w:rFonts w:ascii="Arial" w:hAnsi="Arial" w:cs="Arial"/>
        </w:rPr>
      </w:pPr>
    </w:p>
    <w:p w:rsidR="00764623" w:rsidRDefault="00DD3344" w:rsidP="005158B5">
      <w:pPr>
        <w:spacing w:line="480" w:lineRule="auto"/>
        <w:jc w:val="both"/>
        <w:rPr>
          <w:rFonts w:ascii="Arial" w:hAnsi="Arial" w:cs="Arial"/>
        </w:rPr>
      </w:pPr>
      <w:r w:rsidRPr="0033582C">
        <w:rPr>
          <w:rFonts w:ascii="Arial" w:hAnsi="Arial" w:cs="Arial"/>
        </w:rPr>
        <w:t>The Select Committee covering Energy and Cli</w:t>
      </w:r>
      <w:r w:rsidR="00190353" w:rsidRPr="0033582C">
        <w:rPr>
          <w:rFonts w:ascii="Arial" w:hAnsi="Arial" w:cs="Arial"/>
        </w:rPr>
        <w:t>m</w:t>
      </w:r>
      <w:r w:rsidRPr="0033582C">
        <w:rPr>
          <w:rFonts w:ascii="Arial" w:hAnsi="Arial" w:cs="Arial"/>
        </w:rPr>
        <w:t>at</w:t>
      </w:r>
      <w:r w:rsidRPr="00CA7074">
        <w:rPr>
          <w:rFonts w:ascii="Arial" w:hAnsi="Arial" w:cs="Arial"/>
        </w:rPr>
        <w:t>e Change proved to be a principal channel for discussion of the proposals</w:t>
      </w:r>
      <w:r w:rsidR="00584DF0">
        <w:rPr>
          <w:rFonts w:ascii="Arial" w:hAnsi="Arial" w:cs="Arial"/>
        </w:rPr>
        <w:t xml:space="preserve"> after they were published</w:t>
      </w:r>
      <w:r w:rsidRPr="00CA7074">
        <w:rPr>
          <w:rFonts w:ascii="Arial" w:hAnsi="Arial" w:cs="Arial"/>
        </w:rPr>
        <w:t xml:space="preserve">. </w:t>
      </w:r>
      <w:r w:rsidR="00190353" w:rsidRPr="00CA7074">
        <w:rPr>
          <w:rFonts w:ascii="Arial" w:hAnsi="Arial" w:cs="Arial"/>
        </w:rPr>
        <w:t>The Select Committee</w:t>
      </w:r>
      <w:r w:rsidR="0033582C">
        <w:rPr>
          <w:rFonts w:ascii="Arial" w:hAnsi="Arial" w:cs="Arial"/>
        </w:rPr>
        <w:t xml:space="preserve"> took </w:t>
      </w:r>
      <w:r w:rsidR="005C2C9F" w:rsidRPr="00CA7074">
        <w:rPr>
          <w:rFonts w:ascii="Arial" w:hAnsi="Arial" w:cs="Arial"/>
        </w:rPr>
        <w:t xml:space="preserve">(both written and oral) </w:t>
      </w:r>
      <w:r w:rsidR="00190353" w:rsidRPr="00CA7074">
        <w:rPr>
          <w:rFonts w:ascii="Arial" w:hAnsi="Arial" w:cs="Arial"/>
        </w:rPr>
        <w:t>evidence from various industrial interests and experts concerned with promoting low carbon energy sources</w:t>
      </w:r>
      <w:r w:rsidR="002716A1" w:rsidRPr="00CA7074">
        <w:rPr>
          <w:rFonts w:ascii="Arial" w:hAnsi="Arial" w:cs="Arial"/>
        </w:rPr>
        <w:t>.</w:t>
      </w:r>
      <w:r w:rsidR="00190353" w:rsidRPr="00CA7074">
        <w:rPr>
          <w:rFonts w:ascii="Arial" w:hAnsi="Arial" w:cs="Arial"/>
        </w:rPr>
        <w:t xml:space="preserve"> The Select Committee published three reports during the progression of the legislation through Parliament. Each report acted as a sounding board for key industrial demands, which were conceded by the Government after the Select Committee issued its findings. In the aftermath of the discussions about the ‘green paper’ the Committee called for incentives to be layered acco</w:t>
      </w:r>
      <w:r w:rsidR="005C2C9F" w:rsidRPr="00CA7074">
        <w:rPr>
          <w:rFonts w:ascii="Arial" w:hAnsi="Arial" w:cs="Arial"/>
        </w:rPr>
        <w:t>r</w:t>
      </w:r>
      <w:r w:rsidR="00190353" w:rsidRPr="00CA7074">
        <w:rPr>
          <w:rFonts w:ascii="Arial" w:hAnsi="Arial" w:cs="Arial"/>
        </w:rPr>
        <w:t>ding to the needs of particular technologies</w:t>
      </w:r>
      <w:r w:rsidR="002716A1" w:rsidRPr="00CA7074">
        <w:rPr>
          <w:rFonts w:ascii="Arial" w:hAnsi="Arial" w:cs="Arial"/>
        </w:rPr>
        <w:t xml:space="preserve">. </w:t>
      </w:r>
      <w:r w:rsidR="00190353" w:rsidRPr="00CA7074">
        <w:rPr>
          <w:rFonts w:ascii="Arial" w:hAnsi="Arial" w:cs="Arial"/>
        </w:rPr>
        <w:t>At that (</w:t>
      </w:r>
      <w:r w:rsidR="002716A1" w:rsidRPr="00CA7074">
        <w:rPr>
          <w:rFonts w:ascii="Arial" w:hAnsi="Arial" w:cs="Arial"/>
        </w:rPr>
        <w:t>‘green paper’</w:t>
      </w:r>
      <w:r w:rsidR="00190353" w:rsidRPr="00CA7074">
        <w:rPr>
          <w:rFonts w:ascii="Arial" w:hAnsi="Arial" w:cs="Arial"/>
        </w:rPr>
        <w:t xml:space="preserve">) stage of the discussions it was feared that nuclear power (which initially was </w:t>
      </w:r>
      <w:r w:rsidR="001C7165">
        <w:rPr>
          <w:rFonts w:ascii="Arial" w:hAnsi="Arial" w:cs="Arial"/>
        </w:rPr>
        <w:t xml:space="preserve">widely </w:t>
      </w:r>
      <w:r w:rsidR="00190353" w:rsidRPr="00CA7074">
        <w:rPr>
          <w:rFonts w:ascii="Arial" w:hAnsi="Arial" w:cs="Arial"/>
        </w:rPr>
        <w:t xml:space="preserve">thought to be </w:t>
      </w:r>
      <w:r w:rsidR="001C7165">
        <w:rPr>
          <w:rFonts w:ascii="Arial" w:hAnsi="Arial" w:cs="Arial"/>
        </w:rPr>
        <w:t>clearly cheaper than other non-fossil alternatives)</w:t>
      </w:r>
      <w:r w:rsidR="00190353" w:rsidRPr="00CA7074">
        <w:rPr>
          <w:rFonts w:ascii="Arial" w:hAnsi="Arial" w:cs="Arial"/>
        </w:rPr>
        <w:t xml:space="preserve"> would dominate the incentives relative to renewable energy sources if a ‘one size fits all’ solution was implemented</w:t>
      </w:r>
      <w:r w:rsidR="002716A1" w:rsidRPr="00CA7074">
        <w:rPr>
          <w:rFonts w:ascii="Arial" w:hAnsi="Arial" w:cs="Arial"/>
        </w:rPr>
        <w:t xml:space="preserve"> (Energy and Climate Change Committee 2011).</w:t>
      </w:r>
    </w:p>
    <w:p w:rsidR="005B6B03" w:rsidRDefault="005B6B03" w:rsidP="005158B5">
      <w:pPr>
        <w:spacing w:line="480" w:lineRule="auto"/>
        <w:jc w:val="both"/>
        <w:rPr>
          <w:rFonts w:ascii="Arial" w:hAnsi="Arial" w:cs="Arial"/>
        </w:rPr>
      </w:pPr>
    </w:p>
    <w:p w:rsidR="00DD3344" w:rsidRDefault="005C2C9F" w:rsidP="005158B5">
      <w:pPr>
        <w:spacing w:line="480" w:lineRule="auto"/>
        <w:jc w:val="both"/>
        <w:rPr>
          <w:rFonts w:ascii="Arial" w:hAnsi="Arial" w:cs="Arial"/>
        </w:rPr>
      </w:pPr>
      <w:r w:rsidRPr="00CA7074">
        <w:rPr>
          <w:rFonts w:ascii="Arial" w:hAnsi="Arial" w:cs="Arial"/>
        </w:rPr>
        <w:t xml:space="preserve">The second Select Committee deliberations focussed on demands from renewable and nuclear interests for the government to guarantee that the feed-in tariff payments would actually </w:t>
      </w:r>
      <w:r w:rsidR="005B6B03">
        <w:rPr>
          <w:rFonts w:ascii="Arial" w:hAnsi="Arial" w:cs="Arial"/>
        </w:rPr>
        <w:t xml:space="preserve">be </w:t>
      </w:r>
      <w:r w:rsidRPr="00CA7074">
        <w:rPr>
          <w:rFonts w:ascii="Arial" w:hAnsi="Arial" w:cs="Arial"/>
        </w:rPr>
        <w:t>made, as the Government initially hoped this would be handled by a company owned by the National Grid</w:t>
      </w:r>
      <w:r w:rsidR="002716A1" w:rsidRPr="00CA7074">
        <w:rPr>
          <w:rFonts w:ascii="Arial" w:hAnsi="Arial" w:cs="Arial"/>
        </w:rPr>
        <w:t xml:space="preserve"> (Energy and Climate Change Committee 2012)</w:t>
      </w:r>
      <w:r w:rsidRPr="00CA7074">
        <w:rPr>
          <w:rFonts w:ascii="Arial" w:hAnsi="Arial" w:cs="Arial"/>
        </w:rPr>
        <w:t>.</w:t>
      </w:r>
      <w:r w:rsidR="0096379A" w:rsidRPr="00CA7074">
        <w:rPr>
          <w:rFonts w:ascii="Arial" w:hAnsi="Arial" w:cs="Arial"/>
        </w:rPr>
        <w:t xml:space="preserve"> The third report focussed on how nuclear power could be funded and it recommended that the Government offer loan guarantees to developers</w:t>
      </w:r>
      <w:r w:rsidR="002716A1" w:rsidRPr="00CA7074">
        <w:rPr>
          <w:rFonts w:ascii="Arial" w:hAnsi="Arial" w:cs="Arial"/>
        </w:rPr>
        <w:t xml:space="preserve"> (Energy and Climate Change Committee 2013)</w:t>
      </w:r>
      <w:r w:rsidR="0096379A" w:rsidRPr="00CA7074">
        <w:rPr>
          <w:rFonts w:ascii="Arial" w:hAnsi="Arial" w:cs="Arial"/>
        </w:rPr>
        <w:t>.</w:t>
      </w:r>
      <w:r w:rsidR="00764623">
        <w:rPr>
          <w:rFonts w:ascii="Arial" w:hAnsi="Arial" w:cs="Arial"/>
        </w:rPr>
        <w:t xml:space="preserve"> It is notable that key recommendations made by the Select Committee on these issues eventually were incorporated into the primary legislation, or the secondary legislation that followed.</w:t>
      </w:r>
      <w:r w:rsidR="00AF1082">
        <w:rPr>
          <w:rFonts w:ascii="Arial" w:hAnsi="Arial" w:cs="Arial"/>
        </w:rPr>
        <w:t xml:space="preserve"> However, such changes seem to have been prompted by lobbying by ‘insider’ energy-industrial groups who had been involved in providing advice for the initial proposals, but for whom the degree of promised intervention by government had not gone far enough.</w:t>
      </w:r>
    </w:p>
    <w:p w:rsidR="005B6B03" w:rsidRPr="00CA7074" w:rsidRDefault="005B6B03" w:rsidP="005158B5">
      <w:pPr>
        <w:spacing w:line="480" w:lineRule="auto"/>
        <w:jc w:val="both"/>
        <w:rPr>
          <w:rFonts w:ascii="Arial" w:hAnsi="Arial" w:cs="Arial"/>
        </w:rPr>
      </w:pPr>
    </w:p>
    <w:p w:rsidR="001066EB" w:rsidRDefault="00B719C9" w:rsidP="005158B5">
      <w:pPr>
        <w:spacing w:line="480" w:lineRule="auto"/>
        <w:jc w:val="both"/>
        <w:rPr>
          <w:rFonts w:ascii="Arial" w:hAnsi="Arial" w:cs="Arial"/>
        </w:rPr>
      </w:pPr>
      <w:r w:rsidRPr="00CA7074">
        <w:rPr>
          <w:rFonts w:ascii="Arial" w:hAnsi="Arial" w:cs="Arial"/>
        </w:rPr>
        <w:t xml:space="preserve">The Government also held consultations over various technical aspects of EMR. In addition to consultations over EMR there were also consultations over changes to incentives organised under the Renewables Obligation up to 2014. The RO was to run </w:t>
      </w:r>
      <w:r w:rsidR="003252C7">
        <w:rPr>
          <w:rFonts w:ascii="Arial" w:hAnsi="Arial" w:cs="Arial"/>
        </w:rPr>
        <w:t>con</w:t>
      </w:r>
      <w:r w:rsidRPr="00CA7074">
        <w:rPr>
          <w:rFonts w:ascii="Arial" w:hAnsi="Arial" w:cs="Arial"/>
        </w:rPr>
        <w:t>currently with the EMR regime as this was phased in during a transitional period from 2014-201</w:t>
      </w:r>
      <w:r w:rsidR="003252C7">
        <w:rPr>
          <w:rFonts w:ascii="Arial" w:hAnsi="Arial" w:cs="Arial"/>
        </w:rPr>
        <w:t>7</w:t>
      </w:r>
      <w:r w:rsidRPr="00CA7074">
        <w:rPr>
          <w:rFonts w:ascii="Arial" w:hAnsi="Arial" w:cs="Arial"/>
        </w:rPr>
        <w:t xml:space="preserve">. Public tensions emerged between the Treasury (headed by a Conservative) and </w:t>
      </w:r>
      <w:r w:rsidR="00912C33">
        <w:rPr>
          <w:rFonts w:ascii="Arial" w:hAnsi="Arial" w:cs="Arial"/>
        </w:rPr>
        <w:t xml:space="preserve">Department </w:t>
      </w:r>
      <w:r w:rsidR="006F2E85">
        <w:rPr>
          <w:rFonts w:ascii="Arial" w:hAnsi="Arial" w:cs="Arial"/>
        </w:rPr>
        <w:t>for En</w:t>
      </w:r>
      <w:r w:rsidR="00912C33">
        <w:rPr>
          <w:rFonts w:ascii="Arial" w:hAnsi="Arial" w:cs="Arial"/>
        </w:rPr>
        <w:t>ergy and Climate Change</w:t>
      </w:r>
      <w:r w:rsidRPr="00CA7074">
        <w:rPr>
          <w:rFonts w:ascii="Arial" w:hAnsi="Arial" w:cs="Arial"/>
        </w:rPr>
        <w:t xml:space="preserve"> (headed by a Liberal Democra</w:t>
      </w:r>
      <w:r w:rsidR="00805BFE">
        <w:rPr>
          <w:rFonts w:ascii="Arial" w:hAnsi="Arial" w:cs="Arial"/>
        </w:rPr>
        <w:t>t) over funding of onshore wind</w:t>
      </w:r>
      <w:r w:rsidRPr="00CA7074">
        <w:rPr>
          <w:rFonts w:ascii="Arial" w:hAnsi="Arial" w:cs="Arial"/>
        </w:rPr>
        <w:t xml:space="preserve">, with the Treasury wanting lower incentives comparing to DECC. These tensions </w:t>
      </w:r>
      <w:r w:rsidR="001A3058">
        <w:rPr>
          <w:rFonts w:ascii="Arial" w:hAnsi="Arial" w:cs="Arial"/>
        </w:rPr>
        <w:t>appeared to involve</w:t>
      </w:r>
      <w:r w:rsidR="000643D0">
        <w:rPr>
          <w:rFonts w:ascii="Arial" w:hAnsi="Arial" w:cs="Arial"/>
        </w:rPr>
        <w:t xml:space="preserve"> </w:t>
      </w:r>
      <w:r w:rsidRPr="00CA7074">
        <w:rPr>
          <w:rFonts w:ascii="Arial" w:hAnsi="Arial" w:cs="Arial"/>
        </w:rPr>
        <w:t xml:space="preserve">conflicts between </w:t>
      </w:r>
      <w:r w:rsidR="001A3058">
        <w:rPr>
          <w:rFonts w:ascii="Arial" w:hAnsi="Arial" w:cs="Arial"/>
        </w:rPr>
        <w:t xml:space="preserve">an apparently more </w:t>
      </w:r>
      <w:r w:rsidRPr="00CA7074">
        <w:rPr>
          <w:rFonts w:ascii="Arial" w:hAnsi="Arial" w:cs="Arial"/>
        </w:rPr>
        <w:t xml:space="preserve">pro-renewable energy Liberal Democrats and </w:t>
      </w:r>
      <w:r w:rsidR="005B6B03">
        <w:rPr>
          <w:rFonts w:ascii="Arial" w:hAnsi="Arial" w:cs="Arial"/>
        </w:rPr>
        <w:t>pressure from</w:t>
      </w:r>
      <w:r w:rsidRPr="00CA7074">
        <w:rPr>
          <w:rFonts w:ascii="Arial" w:hAnsi="Arial" w:cs="Arial"/>
        </w:rPr>
        <w:t xml:space="preserve"> Conservative </w:t>
      </w:r>
      <w:r w:rsidR="005B6B03">
        <w:rPr>
          <w:rFonts w:ascii="Arial" w:hAnsi="Arial" w:cs="Arial"/>
        </w:rPr>
        <w:t>backbench MPs</w:t>
      </w:r>
      <w:r w:rsidRPr="00CA7074">
        <w:rPr>
          <w:rFonts w:ascii="Arial" w:hAnsi="Arial" w:cs="Arial"/>
        </w:rPr>
        <w:t xml:space="preserve"> that was more sceptical towards onshore windpower</w:t>
      </w:r>
      <w:r w:rsidR="00A24FEE">
        <w:rPr>
          <w:rFonts w:ascii="Arial" w:hAnsi="Arial" w:cs="Arial"/>
        </w:rPr>
        <w:t xml:space="preserve"> (Pickard and Chazan 2012)</w:t>
      </w:r>
      <w:r w:rsidR="001A3058">
        <w:rPr>
          <w:rFonts w:ascii="Arial" w:hAnsi="Arial" w:cs="Arial"/>
        </w:rPr>
        <w:t xml:space="preserve">. </w:t>
      </w:r>
      <w:r w:rsidR="001066EB" w:rsidRPr="00CA7074">
        <w:rPr>
          <w:rFonts w:ascii="Arial" w:hAnsi="Arial" w:cs="Arial"/>
        </w:rPr>
        <w:t>The consultations over changes to RO incentives seemed to be dominated by this inter-party clash</w:t>
      </w:r>
      <w:r w:rsidR="001066EB">
        <w:rPr>
          <w:rFonts w:ascii="Arial" w:hAnsi="Arial" w:cs="Arial"/>
        </w:rPr>
        <w:t xml:space="preserve">. </w:t>
      </w:r>
    </w:p>
    <w:p w:rsidR="005B6B03" w:rsidRDefault="005B6B03" w:rsidP="005158B5">
      <w:pPr>
        <w:spacing w:line="480" w:lineRule="auto"/>
        <w:jc w:val="both"/>
        <w:rPr>
          <w:rFonts w:ascii="Arial" w:hAnsi="Arial" w:cs="Arial"/>
        </w:rPr>
      </w:pPr>
    </w:p>
    <w:p w:rsidR="00B719C9" w:rsidRDefault="00FE1AA2" w:rsidP="005158B5">
      <w:pPr>
        <w:spacing w:line="480" w:lineRule="auto"/>
        <w:jc w:val="both"/>
        <w:rPr>
          <w:rFonts w:ascii="Arial" w:hAnsi="Arial" w:cs="Arial"/>
        </w:rPr>
      </w:pPr>
      <w:r>
        <w:rPr>
          <w:rFonts w:ascii="Arial" w:hAnsi="Arial" w:cs="Arial"/>
        </w:rPr>
        <w:t>Disputes over the role of onshore</w:t>
      </w:r>
      <w:r w:rsidR="00CA2085">
        <w:rPr>
          <w:rFonts w:ascii="Arial" w:hAnsi="Arial" w:cs="Arial"/>
        </w:rPr>
        <w:t xml:space="preserve">wind power </w:t>
      </w:r>
      <w:r>
        <w:rPr>
          <w:rFonts w:ascii="Arial" w:hAnsi="Arial" w:cs="Arial"/>
        </w:rPr>
        <w:t xml:space="preserve">between the coalition partners were endemic. </w:t>
      </w:r>
      <w:r w:rsidR="006F2E85">
        <w:rPr>
          <w:rFonts w:ascii="Arial" w:hAnsi="Arial" w:cs="Arial"/>
        </w:rPr>
        <w:t>John Hayes, a</w:t>
      </w:r>
      <w:r>
        <w:rPr>
          <w:rFonts w:ascii="Arial" w:hAnsi="Arial" w:cs="Arial"/>
        </w:rPr>
        <w:t xml:space="preserve">Conservative </w:t>
      </w:r>
      <w:r w:rsidR="00B719C9" w:rsidRPr="00CA7074">
        <w:rPr>
          <w:rFonts w:ascii="Arial" w:hAnsi="Arial" w:cs="Arial"/>
        </w:rPr>
        <w:t>sceptic of onshore windfarms (which are unpopular amongst m</w:t>
      </w:r>
      <w:r w:rsidR="006F2E85">
        <w:rPr>
          <w:rFonts w:ascii="Arial" w:hAnsi="Arial" w:cs="Arial"/>
        </w:rPr>
        <w:t xml:space="preserve">any Conservative MPs) </w:t>
      </w:r>
      <w:r w:rsidR="00B719C9" w:rsidRPr="00CA7074">
        <w:rPr>
          <w:rFonts w:ascii="Arial" w:hAnsi="Arial" w:cs="Arial"/>
        </w:rPr>
        <w:t>was appointed as a (junior) energy minister in October 2012. H</w:t>
      </w:r>
      <w:r w:rsidR="006F2E85">
        <w:rPr>
          <w:rFonts w:ascii="Arial" w:hAnsi="Arial" w:cs="Arial"/>
        </w:rPr>
        <w:t>owever he</w:t>
      </w:r>
      <w:r w:rsidR="00B719C9" w:rsidRPr="00CA7074">
        <w:rPr>
          <w:rFonts w:ascii="Arial" w:hAnsi="Arial" w:cs="Arial"/>
        </w:rPr>
        <w:t xml:space="preserve"> appeared to clash with the main renewable trade association (RenewableUK) and he was re-shuffled away from the Energy portfolio in March 2013.</w:t>
      </w:r>
      <w:r w:rsidR="00857D12">
        <w:rPr>
          <w:rFonts w:ascii="Arial" w:hAnsi="Arial" w:cs="Arial"/>
        </w:rPr>
        <w:t xml:space="preserve"> Later on, in April 2014, Liberal Democrat leader Nick Clegg was said to have ‘blocked’ plans by the Conservative Party to stop new windfarms being built after 2020</w:t>
      </w:r>
      <w:r w:rsidR="00E54F7A">
        <w:rPr>
          <w:rFonts w:ascii="Arial" w:hAnsi="Arial" w:cs="Arial"/>
        </w:rPr>
        <w:t xml:space="preserve"> (Mason 2014)</w:t>
      </w:r>
      <w:r w:rsidR="00857D12">
        <w:rPr>
          <w:rFonts w:ascii="Arial" w:hAnsi="Arial" w:cs="Arial"/>
        </w:rPr>
        <w:t>.</w:t>
      </w:r>
      <w:r w:rsidR="00047AE9">
        <w:rPr>
          <w:rFonts w:ascii="Arial" w:hAnsi="Arial" w:cs="Arial"/>
        </w:rPr>
        <w:t>Reports indicated that the Conservatives were planning to withdraw fu</w:t>
      </w:r>
      <w:r w:rsidR="002B3F04">
        <w:rPr>
          <w:rFonts w:ascii="Arial" w:hAnsi="Arial" w:cs="Arial"/>
        </w:rPr>
        <w:t>n</w:t>
      </w:r>
      <w:r w:rsidR="00047AE9">
        <w:rPr>
          <w:rFonts w:ascii="Arial" w:hAnsi="Arial" w:cs="Arial"/>
        </w:rPr>
        <w:t>ding from new onshore windfarms after 2020, but to</w:t>
      </w:r>
      <w:r w:rsidR="00814D61">
        <w:rPr>
          <w:rFonts w:ascii="Arial" w:hAnsi="Arial" w:cs="Arial"/>
        </w:rPr>
        <w:t xml:space="preserve"> continue to fund offshore wind f</w:t>
      </w:r>
      <w:r w:rsidR="00047AE9">
        <w:rPr>
          <w:rFonts w:ascii="Arial" w:hAnsi="Arial" w:cs="Arial"/>
        </w:rPr>
        <w:t>arms and also solar power on rooftops.</w:t>
      </w:r>
    </w:p>
    <w:p w:rsidR="00814D61" w:rsidRPr="00CA7074" w:rsidRDefault="00814D61" w:rsidP="005158B5">
      <w:pPr>
        <w:spacing w:line="480" w:lineRule="auto"/>
        <w:jc w:val="both"/>
        <w:rPr>
          <w:rFonts w:ascii="Arial" w:hAnsi="Arial" w:cs="Arial"/>
        </w:rPr>
      </w:pPr>
    </w:p>
    <w:p w:rsidR="00B719C9" w:rsidRPr="00CA7074" w:rsidRDefault="003D293D" w:rsidP="005158B5">
      <w:pPr>
        <w:spacing w:line="480" w:lineRule="auto"/>
        <w:jc w:val="both"/>
        <w:rPr>
          <w:rFonts w:ascii="Arial" w:hAnsi="Arial" w:cs="Arial"/>
        </w:rPr>
      </w:pPr>
      <w:r>
        <w:rPr>
          <w:rFonts w:ascii="Arial" w:hAnsi="Arial" w:cs="Arial"/>
        </w:rPr>
        <w:t xml:space="preserve">In 2011 there was also a controversy over </w:t>
      </w:r>
      <w:r w:rsidR="000A2F8D">
        <w:rPr>
          <w:rFonts w:ascii="Arial" w:hAnsi="Arial" w:cs="Arial"/>
        </w:rPr>
        <w:t xml:space="preserve">a </w:t>
      </w:r>
      <w:r>
        <w:rPr>
          <w:rFonts w:ascii="Arial" w:hAnsi="Arial" w:cs="Arial"/>
        </w:rPr>
        <w:t xml:space="preserve">cutback in payments for solar pv which was done, according to the solar industry without any consultation (Vaughn et al 2011). It seems that expansion of the pv sector had been more rapid than expected and Treasury ministers in particular were concerned about the cost implications. The Government lost a judicial review on the subject and had to postpone the implementation of some aspects of the rate changes. </w:t>
      </w:r>
    </w:p>
    <w:p w:rsidR="000A2F8D" w:rsidRDefault="000A2F8D" w:rsidP="005158B5">
      <w:pPr>
        <w:spacing w:line="480" w:lineRule="auto"/>
        <w:jc w:val="both"/>
        <w:rPr>
          <w:rFonts w:ascii="Arial" w:hAnsi="Arial" w:cs="Arial"/>
        </w:rPr>
      </w:pPr>
    </w:p>
    <w:p w:rsidR="009D4E82" w:rsidRDefault="00FF1A6C" w:rsidP="005158B5">
      <w:pPr>
        <w:spacing w:line="480" w:lineRule="auto"/>
        <w:jc w:val="both"/>
        <w:rPr>
          <w:rFonts w:ascii="Arial" w:hAnsi="Arial" w:cs="Arial"/>
        </w:rPr>
      </w:pPr>
      <w:r>
        <w:rPr>
          <w:rFonts w:ascii="Arial" w:hAnsi="Arial" w:cs="Arial"/>
        </w:rPr>
        <w:t xml:space="preserve">As in the case of Denmark, to date the majority of </w:t>
      </w:r>
      <w:r w:rsidR="00BD2629">
        <w:rPr>
          <w:rFonts w:ascii="Arial" w:hAnsi="Arial" w:cs="Arial"/>
        </w:rPr>
        <w:t xml:space="preserve">British </w:t>
      </w:r>
      <w:r>
        <w:rPr>
          <w:rFonts w:ascii="Arial" w:hAnsi="Arial" w:cs="Arial"/>
        </w:rPr>
        <w:t>wind</w:t>
      </w:r>
      <w:r w:rsidR="000A2F8D">
        <w:rPr>
          <w:rFonts w:ascii="Arial" w:hAnsi="Arial" w:cs="Arial"/>
        </w:rPr>
        <w:t xml:space="preserve"> farms are onshore, although an </w:t>
      </w:r>
      <w:r>
        <w:rPr>
          <w:rFonts w:ascii="Arial" w:hAnsi="Arial" w:cs="Arial"/>
        </w:rPr>
        <w:t>increasing proportion are being built offshore. Offshore windfarm cons</w:t>
      </w:r>
      <w:r w:rsidR="000A2F8D">
        <w:rPr>
          <w:rFonts w:ascii="Arial" w:hAnsi="Arial" w:cs="Arial"/>
        </w:rPr>
        <w:t>ents are considered</w:t>
      </w:r>
      <w:r>
        <w:rPr>
          <w:rFonts w:ascii="Arial" w:hAnsi="Arial" w:cs="Arial"/>
        </w:rPr>
        <w:t xml:space="preserve"> by central government, as in Denmark, with the difference that, unlike Denmark, </w:t>
      </w:r>
      <w:r w:rsidR="00BD2629">
        <w:rPr>
          <w:rFonts w:ascii="Arial" w:hAnsi="Arial" w:cs="Arial"/>
        </w:rPr>
        <w:t xml:space="preserve">in the UK </w:t>
      </w:r>
      <w:r>
        <w:rPr>
          <w:rFonts w:ascii="Arial" w:hAnsi="Arial" w:cs="Arial"/>
        </w:rPr>
        <w:t>there are no regulations mandating the offer of shares to people living locally to relatively near-shore windfarm</w:t>
      </w:r>
      <w:r w:rsidR="000A2F8D">
        <w:rPr>
          <w:rFonts w:ascii="Arial" w:hAnsi="Arial" w:cs="Arial"/>
        </w:rPr>
        <w:t>s.</w:t>
      </w:r>
      <w:r w:rsidR="000643D0">
        <w:rPr>
          <w:rFonts w:ascii="Arial" w:hAnsi="Arial" w:cs="Arial"/>
        </w:rPr>
        <w:t xml:space="preserve"> </w:t>
      </w:r>
      <w:r w:rsidR="009D4E82">
        <w:rPr>
          <w:rFonts w:ascii="Arial" w:hAnsi="Arial" w:cs="Arial"/>
        </w:rPr>
        <w:t>However, in 2013 the Departme</w:t>
      </w:r>
      <w:r w:rsidR="000A2F8D">
        <w:rPr>
          <w:rFonts w:ascii="Arial" w:hAnsi="Arial" w:cs="Arial"/>
        </w:rPr>
        <w:t>nt for</w:t>
      </w:r>
      <w:r w:rsidR="009D4E82">
        <w:rPr>
          <w:rFonts w:ascii="Arial" w:hAnsi="Arial" w:cs="Arial"/>
        </w:rPr>
        <w:t xml:space="preserve"> Energy and Climate Change undertook discussions with RenewableUK with a view to gaining a commitment to ensuring that projects involved offers of community benefits and/or share offers equivalent to 5 per cent of the value of the projects</w:t>
      </w:r>
      <w:r w:rsidR="00791F6E">
        <w:rPr>
          <w:rFonts w:ascii="Arial" w:hAnsi="Arial" w:cs="Arial"/>
        </w:rPr>
        <w:t xml:space="preserve"> (DECC 2014b)</w:t>
      </w:r>
      <w:r w:rsidR="009D4E82">
        <w:rPr>
          <w:rFonts w:ascii="Arial" w:hAnsi="Arial" w:cs="Arial"/>
        </w:rPr>
        <w:t>.</w:t>
      </w:r>
    </w:p>
    <w:p w:rsidR="004E668F" w:rsidRDefault="004E668F" w:rsidP="005158B5">
      <w:pPr>
        <w:spacing w:line="480" w:lineRule="auto"/>
        <w:jc w:val="both"/>
        <w:rPr>
          <w:rFonts w:ascii="Arial" w:hAnsi="Arial" w:cs="Arial"/>
        </w:rPr>
      </w:pPr>
    </w:p>
    <w:p w:rsidR="000643D0" w:rsidRDefault="00807817" w:rsidP="005158B5">
      <w:pPr>
        <w:spacing w:line="480" w:lineRule="auto"/>
        <w:jc w:val="both"/>
        <w:rPr>
          <w:rFonts w:ascii="Arial" w:hAnsi="Arial" w:cs="Arial"/>
        </w:rPr>
      </w:pPr>
      <w:r w:rsidRPr="00CA7074">
        <w:rPr>
          <w:rFonts w:ascii="Arial" w:hAnsi="Arial" w:cs="Arial"/>
        </w:rPr>
        <w:t xml:space="preserve">Planning controversies concerning renewable energy are very common in the UK. There is little tradition of local ownership, although recently regulations have been proposed encouraging developers to give local benefits such as support for local schools. </w:t>
      </w:r>
      <w:r w:rsidR="0007199D" w:rsidRPr="00CA7074">
        <w:rPr>
          <w:rFonts w:ascii="Arial" w:hAnsi="Arial" w:cs="Arial"/>
        </w:rPr>
        <w:t>Planning policy for windfarms co</w:t>
      </w:r>
      <w:r w:rsidR="004E668F">
        <w:rPr>
          <w:rFonts w:ascii="Arial" w:hAnsi="Arial" w:cs="Arial"/>
        </w:rPr>
        <w:t xml:space="preserve">nsists of guidelines set by </w:t>
      </w:r>
      <w:r w:rsidR="0007199D" w:rsidRPr="00CA7074">
        <w:rPr>
          <w:rFonts w:ascii="Arial" w:hAnsi="Arial" w:cs="Arial"/>
        </w:rPr>
        <w:t>central government superimposed on standard planning law for developments</w:t>
      </w:r>
      <w:r w:rsidR="003238B9" w:rsidRPr="00CA7074">
        <w:rPr>
          <w:rFonts w:ascii="Arial" w:hAnsi="Arial" w:cs="Arial"/>
        </w:rPr>
        <w:t>, with central government(s) steering the actions of local government planning authorities</w:t>
      </w:r>
      <w:r w:rsidR="0007199D" w:rsidRPr="00CA7074">
        <w:rPr>
          <w:rFonts w:ascii="Arial" w:hAnsi="Arial" w:cs="Arial"/>
        </w:rPr>
        <w:t xml:space="preserve">. </w:t>
      </w:r>
    </w:p>
    <w:p w:rsidR="000643D0" w:rsidRDefault="000643D0" w:rsidP="005158B5">
      <w:pPr>
        <w:spacing w:line="480" w:lineRule="auto"/>
        <w:jc w:val="both"/>
        <w:rPr>
          <w:rFonts w:ascii="Arial" w:hAnsi="Arial" w:cs="Arial"/>
        </w:rPr>
      </w:pPr>
    </w:p>
    <w:p w:rsidR="00D91006" w:rsidRDefault="0007199D" w:rsidP="005158B5">
      <w:pPr>
        <w:spacing w:line="480" w:lineRule="auto"/>
        <w:jc w:val="both"/>
        <w:rPr>
          <w:rFonts w:ascii="Arial" w:hAnsi="Arial" w:cs="Arial"/>
        </w:rPr>
      </w:pPr>
      <w:r w:rsidRPr="00CA7074">
        <w:rPr>
          <w:rFonts w:ascii="Arial" w:hAnsi="Arial" w:cs="Arial"/>
        </w:rPr>
        <w:t>In fact there are four sets of planning systems; for England, Scotland, Wales and Northern Ireland</w:t>
      </w:r>
      <w:r w:rsidR="003238B9" w:rsidRPr="00CA7074">
        <w:rPr>
          <w:rFonts w:ascii="Arial" w:hAnsi="Arial" w:cs="Arial"/>
        </w:rPr>
        <w:t>, with each of these ‘countries’ having central-local relations, England’s centre being fused with that of the quasi-federal Westminster.</w:t>
      </w:r>
      <w:r w:rsidR="000643D0">
        <w:rPr>
          <w:rFonts w:ascii="Arial" w:hAnsi="Arial" w:cs="Arial"/>
        </w:rPr>
        <w:t xml:space="preserve"> </w:t>
      </w:r>
      <w:r w:rsidR="00CB1445" w:rsidRPr="00CA7074">
        <w:rPr>
          <w:rFonts w:ascii="Arial" w:hAnsi="Arial" w:cs="Arial"/>
        </w:rPr>
        <w:t xml:space="preserve">These planning policies </w:t>
      </w:r>
      <w:r w:rsidR="00D91006" w:rsidRPr="00CA7074">
        <w:rPr>
          <w:rFonts w:ascii="Arial" w:hAnsi="Arial" w:cs="Arial"/>
        </w:rPr>
        <w:t xml:space="preserve">vary in some details, and have been changed from time to time, but they </w:t>
      </w:r>
      <w:r w:rsidR="00CB1445" w:rsidRPr="00CA7074">
        <w:rPr>
          <w:rFonts w:ascii="Arial" w:hAnsi="Arial" w:cs="Arial"/>
        </w:rPr>
        <w:t>all require local authorities to take into account the contribution of renewable energy to national policy in favour of renewable energy development</w:t>
      </w:r>
      <w:r w:rsidR="001B64DC">
        <w:rPr>
          <w:rFonts w:ascii="Arial" w:hAnsi="Arial" w:cs="Arial"/>
        </w:rPr>
        <w:t xml:space="preserve"> (although in England’s case this was weakened in 2012)</w:t>
      </w:r>
      <w:r w:rsidR="00CB1445" w:rsidRPr="00CA7074">
        <w:rPr>
          <w:rFonts w:ascii="Arial" w:hAnsi="Arial" w:cs="Arial"/>
        </w:rPr>
        <w:t xml:space="preserve">. Wales is the only area to specifically allocate areas </w:t>
      </w:r>
      <w:r w:rsidR="001B64DC">
        <w:rPr>
          <w:rFonts w:ascii="Arial" w:hAnsi="Arial" w:cs="Arial"/>
        </w:rPr>
        <w:t xml:space="preserve">favourable </w:t>
      </w:r>
      <w:r w:rsidR="00CB1445" w:rsidRPr="00CA7074">
        <w:rPr>
          <w:rFonts w:ascii="Arial" w:hAnsi="Arial" w:cs="Arial"/>
        </w:rPr>
        <w:t xml:space="preserve">for windfarm development, with a presumption against windfarm development outside these areas. </w:t>
      </w:r>
      <w:r w:rsidR="005F3D2F">
        <w:rPr>
          <w:rFonts w:ascii="Arial" w:hAnsi="Arial" w:cs="Arial"/>
        </w:rPr>
        <w:t xml:space="preserve">It is true that </w:t>
      </w:r>
      <w:r w:rsidR="00CA2085">
        <w:rPr>
          <w:rFonts w:ascii="Arial" w:hAnsi="Arial" w:cs="Arial"/>
        </w:rPr>
        <w:t>d</w:t>
      </w:r>
      <w:r w:rsidR="005F3D2F">
        <w:rPr>
          <w:rFonts w:ascii="Arial" w:hAnsi="Arial" w:cs="Arial"/>
        </w:rPr>
        <w:t>evolution of power to these governments represents decentralisation to sub-national governments, but it should be noted that the centralised nature of relations with local government has neve</w:t>
      </w:r>
      <w:r w:rsidR="004E668F">
        <w:rPr>
          <w:rFonts w:ascii="Arial" w:hAnsi="Arial" w:cs="Arial"/>
        </w:rPr>
        <w:t>rtheless been replicated in these</w:t>
      </w:r>
      <w:r w:rsidR="005F3D2F">
        <w:rPr>
          <w:rFonts w:ascii="Arial" w:hAnsi="Arial" w:cs="Arial"/>
        </w:rPr>
        <w:t xml:space="preserve"> arrangements. </w:t>
      </w:r>
      <w:r w:rsidR="00C371E1">
        <w:rPr>
          <w:rFonts w:ascii="Arial" w:hAnsi="Arial" w:cs="Arial"/>
        </w:rPr>
        <w:t xml:space="preserve">In this sense a distinctive British </w:t>
      </w:r>
      <w:r w:rsidR="00FF1A6C">
        <w:rPr>
          <w:rFonts w:ascii="Arial" w:hAnsi="Arial" w:cs="Arial"/>
        </w:rPr>
        <w:t xml:space="preserve">‘centralist’ </w:t>
      </w:r>
      <w:r w:rsidR="00C371E1">
        <w:rPr>
          <w:rFonts w:ascii="Arial" w:hAnsi="Arial" w:cs="Arial"/>
        </w:rPr>
        <w:t>policy style is maintained.</w:t>
      </w:r>
    </w:p>
    <w:p w:rsidR="004E668F" w:rsidRPr="00CA7074" w:rsidRDefault="004E668F" w:rsidP="005158B5">
      <w:pPr>
        <w:spacing w:line="480" w:lineRule="auto"/>
        <w:jc w:val="both"/>
        <w:rPr>
          <w:rFonts w:ascii="Arial" w:hAnsi="Arial" w:cs="Arial"/>
        </w:rPr>
      </w:pPr>
    </w:p>
    <w:p w:rsidR="0007199D" w:rsidRDefault="0007199D" w:rsidP="005158B5">
      <w:pPr>
        <w:spacing w:line="480" w:lineRule="auto"/>
        <w:jc w:val="both"/>
        <w:rPr>
          <w:rFonts w:ascii="Arial" w:hAnsi="Arial" w:cs="Arial"/>
        </w:rPr>
      </w:pPr>
      <w:r w:rsidRPr="00CA7074">
        <w:rPr>
          <w:rFonts w:ascii="Arial" w:hAnsi="Arial" w:cs="Arial"/>
        </w:rPr>
        <w:t>The</w:t>
      </w:r>
      <w:r w:rsidR="00CB1445" w:rsidRPr="00CA7074">
        <w:rPr>
          <w:rFonts w:ascii="Arial" w:hAnsi="Arial" w:cs="Arial"/>
        </w:rPr>
        <w:t xml:space="preserve">se planning strategies </w:t>
      </w:r>
      <w:r w:rsidRPr="00CA7074">
        <w:rPr>
          <w:rFonts w:ascii="Arial" w:hAnsi="Arial" w:cs="Arial"/>
        </w:rPr>
        <w:t>set the structure in which local authorities take decisions about renewable energy developments below 50 MW. However developments larger than 50 MW are considered by the governments themselves (Westminster</w:t>
      </w:r>
      <w:r w:rsidR="00784AB4">
        <w:rPr>
          <w:rFonts w:ascii="Arial" w:hAnsi="Arial" w:cs="Arial"/>
        </w:rPr>
        <w:t>,</w:t>
      </w:r>
      <w:r w:rsidRPr="00CA7074">
        <w:rPr>
          <w:rFonts w:ascii="Arial" w:hAnsi="Arial" w:cs="Arial"/>
        </w:rPr>
        <w:t xml:space="preserve"> in </w:t>
      </w:r>
      <w:r w:rsidR="00784AB4">
        <w:rPr>
          <w:rFonts w:ascii="Arial" w:hAnsi="Arial" w:cs="Arial"/>
        </w:rPr>
        <w:t xml:space="preserve">the </w:t>
      </w:r>
      <w:r w:rsidRPr="00CA7074">
        <w:rPr>
          <w:rFonts w:ascii="Arial" w:hAnsi="Arial" w:cs="Arial"/>
        </w:rPr>
        <w:t>case of England</w:t>
      </w:r>
      <w:r w:rsidR="00D91006" w:rsidRPr="00CA7074">
        <w:rPr>
          <w:rFonts w:ascii="Arial" w:hAnsi="Arial" w:cs="Arial"/>
        </w:rPr>
        <w:t xml:space="preserve"> and Wales</w:t>
      </w:r>
      <w:r w:rsidRPr="00CA7074">
        <w:rPr>
          <w:rFonts w:ascii="Arial" w:hAnsi="Arial" w:cs="Arial"/>
        </w:rPr>
        <w:t>, but otherwise devolved to governments</w:t>
      </w:r>
      <w:r w:rsidR="00D91006" w:rsidRPr="00CA7074">
        <w:rPr>
          <w:rFonts w:ascii="Arial" w:hAnsi="Arial" w:cs="Arial"/>
        </w:rPr>
        <w:t xml:space="preserve"> in Scotland and</w:t>
      </w:r>
      <w:r w:rsidRPr="00CA7074">
        <w:rPr>
          <w:rFonts w:ascii="Arial" w:hAnsi="Arial" w:cs="Arial"/>
        </w:rPr>
        <w:t xml:space="preserve"> Northern Ireland).</w:t>
      </w:r>
      <w:r w:rsidR="004857C0" w:rsidRPr="00CA7074">
        <w:rPr>
          <w:rFonts w:ascii="Arial" w:hAnsi="Arial" w:cs="Arial"/>
        </w:rPr>
        <w:t xml:space="preserve">In addition to this even if a proposal </w:t>
      </w:r>
      <w:r w:rsidR="009A271A" w:rsidRPr="00CA7074">
        <w:rPr>
          <w:rFonts w:ascii="Arial" w:hAnsi="Arial" w:cs="Arial"/>
        </w:rPr>
        <w:t xml:space="preserve">(under 50 MW) </w:t>
      </w:r>
      <w:r w:rsidR="004857C0" w:rsidRPr="00CA7074">
        <w:rPr>
          <w:rFonts w:ascii="Arial" w:hAnsi="Arial" w:cs="Arial"/>
        </w:rPr>
        <w:t>is re</w:t>
      </w:r>
      <w:r w:rsidR="009A271A" w:rsidRPr="00CA7074">
        <w:rPr>
          <w:rFonts w:ascii="Arial" w:hAnsi="Arial" w:cs="Arial"/>
        </w:rPr>
        <w:t>fused planning consent</w:t>
      </w:r>
      <w:r w:rsidR="004857C0" w:rsidRPr="00CA7074">
        <w:rPr>
          <w:rFonts w:ascii="Arial" w:hAnsi="Arial" w:cs="Arial"/>
        </w:rPr>
        <w:t xml:space="preserve"> by a local authority the developer can appeal against the decision</w:t>
      </w:r>
      <w:r w:rsidR="00D24680">
        <w:rPr>
          <w:rFonts w:ascii="Arial" w:hAnsi="Arial" w:cs="Arial"/>
        </w:rPr>
        <w:t xml:space="preserve"> on </w:t>
      </w:r>
      <w:r w:rsidR="004857C0" w:rsidRPr="00CA7074">
        <w:rPr>
          <w:rFonts w:ascii="Arial" w:hAnsi="Arial" w:cs="Arial"/>
        </w:rPr>
        <w:t>an issue of policy substance as well as a question of procedure.</w:t>
      </w:r>
      <w:r w:rsidR="00086FBB" w:rsidRPr="00CA7074">
        <w:rPr>
          <w:rFonts w:ascii="Arial" w:hAnsi="Arial" w:cs="Arial"/>
        </w:rPr>
        <w:t xml:space="preserve"> Again, a Public Inquiry will be held and the Government will appoint an Appeals Inspector who will reconsider the application. Local authority refusal is usually on ‘landscape’ grounds, an issue which is very much prone to interpretation, and the Inspector may take a different view to that of the local planning authority. Objectors cannot make an Appeal against a local authority giving consent to a project. </w:t>
      </w:r>
      <w:r w:rsidR="008943C0">
        <w:rPr>
          <w:rFonts w:ascii="Arial" w:hAnsi="Arial" w:cs="Arial"/>
        </w:rPr>
        <w:t>Following the General Election of May 2015 the Conservatives announced that they would launch legislation to ensure that in England proposals for windfarms over 50 MW would be considered by local councils as the primary panning auythority, although developers would still have the right of appeal (Carpenter 2015).</w:t>
      </w:r>
    </w:p>
    <w:p w:rsidR="00CB3298" w:rsidRPr="00CA7074" w:rsidRDefault="00CB3298" w:rsidP="005158B5">
      <w:pPr>
        <w:spacing w:line="480" w:lineRule="auto"/>
        <w:jc w:val="both"/>
        <w:rPr>
          <w:rFonts w:ascii="Arial" w:hAnsi="Arial" w:cs="Arial"/>
        </w:rPr>
      </w:pPr>
    </w:p>
    <w:p w:rsidR="00A24AA6" w:rsidRDefault="00D7377E" w:rsidP="005158B5">
      <w:pPr>
        <w:spacing w:line="480" w:lineRule="auto"/>
        <w:jc w:val="both"/>
        <w:rPr>
          <w:rFonts w:ascii="Arial" w:hAnsi="Arial" w:cs="Arial"/>
        </w:rPr>
      </w:pPr>
      <w:r w:rsidRPr="00CA7074">
        <w:rPr>
          <w:rFonts w:ascii="Arial" w:hAnsi="Arial" w:cs="Arial"/>
        </w:rPr>
        <w:t>In reality the majority of onshore windfarm planning applications, when counted by generating capacity, as</w:t>
      </w:r>
      <w:r w:rsidR="00CB3298">
        <w:rPr>
          <w:rFonts w:ascii="Arial" w:hAnsi="Arial" w:cs="Arial"/>
        </w:rPr>
        <w:t xml:space="preserve"> opposed to number, are decided</w:t>
      </w:r>
      <w:r w:rsidRPr="00CA7074">
        <w:rPr>
          <w:rFonts w:ascii="Arial" w:hAnsi="Arial" w:cs="Arial"/>
        </w:rPr>
        <w:t xml:space="preserve"> by the central government, either directly through central government decisions because they concern larger projects, or indirectly through central government consideration of planning appeals. For example, around two thirds of onshore windfarm planning applications in Scotland are </w:t>
      </w:r>
      <w:r w:rsidR="00FF1A6C">
        <w:rPr>
          <w:rFonts w:ascii="Arial" w:hAnsi="Arial" w:cs="Arial"/>
        </w:rPr>
        <w:t>over</w:t>
      </w:r>
      <w:r w:rsidRPr="00CA7074">
        <w:rPr>
          <w:rFonts w:ascii="Arial" w:hAnsi="Arial" w:cs="Arial"/>
        </w:rPr>
        <w:t xml:space="preserve"> 50 MW in size (Scottish Government 2014), and around two-third</w:t>
      </w:r>
      <w:r w:rsidR="009518E4" w:rsidRPr="00CA7074">
        <w:rPr>
          <w:rFonts w:ascii="Arial" w:hAnsi="Arial" w:cs="Arial"/>
        </w:rPr>
        <w:t>s</w:t>
      </w:r>
      <w:r w:rsidRPr="00CA7074">
        <w:rPr>
          <w:rFonts w:ascii="Arial" w:hAnsi="Arial" w:cs="Arial"/>
        </w:rPr>
        <w:t xml:space="preserve"> of windfarms are constructed in Scotland. In addition to this, many proposals rejected by local authorities will be decided at Appeal by Planning Inspectors appointed by </w:t>
      </w:r>
      <w:r w:rsidR="00FF1A6C">
        <w:rPr>
          <w:rFonts w:ascii="Arial" w:hAnsi="Arial" w:cs="Arial"/>
        </w:rPr>
        <w:t>central</w:t>
      </w:r>
      <w:r w:rsidRPr="00CA7074">
        <w:rPr>
          <w:rFonts w:ascii="Arial" w:hAnsi="Arial" w:cs="Arial"/>
        </w:rPr>
        <w:t xml:space="preserve"> government. </w:t>
      </w:r>
    </w:p>
    <w:p w:rsidR="000643D0" w:rsidRDefault="000643D0" w:rsidP="005158B5">
      <w:pPr>
        <w:spacing w:line="480" w:lineRule="auto"/>
        <w:jc w:val="both"/>
        <w:rPr>
          <w:rFonts w:ascii="Arial" w:hAnsi="Arial" w:cs="Arial"/>
        </w:rPr>
      </w:pPr>
    </w:p>
    <w:p w:rsidR="001748D6" w:rsidRDefault="008B165A" w:rsidP="005158B5">
      <w:pPr>
        <w:spacing w:line="480" w:lineRule="auto"/>
        <w:jc w:val="both"/>
        <w:rPr>
          <w:rFonts w:ascii="Arial" w:hAnsi="Arial" w:cs="Arial"/>
        </w:rPr>
      </w:pPr>
      <w:r w:rsidRPr="00CA7074">
        <w:rPr>
          <w:rFonts w:ascii="Arial" w:hAnsi="Arial" w:cs="Arial"/>
        </w:rPr>
        <w:t>Indeed, it may be plausible to argue that in effect, all renewable energy planning decisions are highly influenced, if not actually decided, by central government since local planning officials will advise councillors making planning decisions on the likelihood that their decisions will fit in with national planning guidelines, and therefore whether their decisions will be upheld by t</w:t>
      </w:r>
      <w:r w:rsidR="00147C17" w:rsidRPr="00CA7074">
        <w:rPr>
          <w:rFonts w:ascii="Arial" w:hAnsi="Arial" w:cs="Arial"/>
        </w:rPr>
        <w:t>h</w:t>
      </w:r>
      <w:r w:rsidRPr="00CA7074">
        <w:rPr>
          <w:rFonts w:ascii="Arial" w:hAnsi="Arial" w:cs="Arial"/>
        </w:rPr>
        <w:t xml:space="preserve">e government on appeal. </w:t>
      </w:r>
      <w:r w:rsidR="00147C17" w:rsidRPr="00CA7074">
        <w:rPr>
          <w:rFonts w:ascii="Arial" w:hAnsi="Arial" w:cs="Arial"/>
        </w:rPr>
        <w:t xml:space="preserve">According to Toke (2005, 1529), the ability to </w:t>
      </w:r>
      <w:r w:rsidR="00C316F8">
        <w:rPr>
          <w:rFonts w:ascii="Arial" w:hAnsi="Arial" w:cs="Arial"/>
        </w:rPr>
        <w:t>a</w:t>
      </w:r>
      <w:r w:rsidR="00147C17" w:rsidRPr="00CA7074">
        <w:rPr>
          <w:rFonts w:ascii="Arial" w:hAnsi="Arial" w:cs="Arial"/>
        </w:rPr>
        <w:t>ppeal meant that whilst local authorities initially refused consent to 60 per cent of windfarm planning applications</w:t>
      </w:r>
      <w:r w:rsidR="00FF1A6C">
        <w:rPr>
          <w:rFonts w:ascii="Arial" w:hAnsi="Arial" w:cs="Arial"/>
        </w:rPr>
        <w:t xml:space="preserve"> considered principally by local authorities (projects no more than 50 MW in size)</w:t>
      </w:r>
      <w:r w:rsidR="00147C17" w:rsidRPr="00CA7074">
        <w:rPr>
          <w:rFonts w:ascii="Arial" w:hAnsi="Arial" w:cs="Arial"/>
        </w:rPr>
        <w:t>, after appeals were taken into account the proportion of</w:t>
      </w:r>
      <w:r w:rsidR="00FF1A6C">
        <w:rPr>
          <w:rFonts w:ascii="Arial" w:hAnsi="Arial" w:cs="Arial"/>
        </w:rPr>
        <w:t xml:space="preserve"> such </w:t>
      </w:r>
      <w:r w:rsidR="00147C17" w:rsidRPr="00CA7074">
        <w:rPr>
          <w:rFonts w:ascii="Arial" w:hAnsi="Arial" w:cs="Arial"/>
        </w:rPr>
        <w:t xml:space="preserve">schemes refused planning consent fell to 45 per cent. </w:t>
      </w:r>
    </w:p>
    <w:p w:rsidR="00F319A3" w:rsidRDefault="00F319A3" w:rsidP="005158B5">
      <w:pPr>
        <w:spacing w:line="480" w:lineRule="auto"/>
        <w:jc w:val="both"/>
        <w:rPr>
          <w:rFonts w:ascii="Arial" w:hAnsi="Arial" w:cs="Arial"/>
        </w:rPr>
      </w:pPr>
    </w:p>
    <w:p w:rsidR="00F319A3" w:rsidRPr="00CA7074" w:rsidRDefault="00F319A3" w:rsidP="005158B5">
      <w:pPr>
        <w:spacing w:line="480" w:lineRule="auto"/>
        <w:jc w:val="both"/>
        <w:rPr>
          <w:rFonts w:ascii="Arial" w:hAnsi="Arial" w:cs="Arial"/>
        </w:rPr>
      </w:pPr>
      <w:r>
        <w:rPr>
          <w:rFonts w:ascii="Arial" w:hAnsi="Arial" w:cs="Arial"/>
        </w:rPr>
        <w:t>As can be seen from the foregoing argument there is evidence for the ‘adversarial’ model of political decision making (Flinders 2005) in the British case given that legislative proposals were drawn up by government in discussions with a limited range of interest groups. Following there was a meaningful consultation process in the sense that there was criticism of the proposals which led to changes in them. The strictures on hierarchy and centralisation in UK politics made by Marsh (2008, 2012</w:t>
      </w:r>
      <w:r w:rsidR="000643D0">
        <w:rPr>
          <w:rFonts w:ascii="Arial" w:hAnsi="Arial" w:cs="Arial"/>
        </w:rPr>
        <w:t>)</w:t>
      </w:r>
      <w:r>
        <w:rPr>
          <w:rFonts w:ascii="Arial" w:hAnsi="Arial" w:cs="Arial"/>
        </w:rPr>
        <w:t xml:space="preserve"> and Bevir and Rhodes (2003) are borne out by the limited participation in the drafting of the initial proposals for Electricity Market Reform and in the planning process which gives the central government the final verdict if developers which to appeal against rejection of schemes at the local government level.</w:t>
      </w:r>
    </w:p>
    <w:p w:rsidR="005D4146" w:rsidRDefault="005D4146" w:rsidP="005158B5">
      <w:pPr>
        <w:spacing w:line="480" w:lineRule="auto"/>
        <w:jc w:val="both"/>
        <w:rPr>
          <w:rFonts w:ascii="Arial" w:hAnsi="Arial" w:cs="Arial"/>
          <w:b/>
        </w:rPr>
      </w:pPr>
    </w:p>
    <w:p w:rsidR="00314F10" w:rsidRDefault="000D5018" w:rsidP="005158B5">
      <w:pPr>
        <w:spacing w:line="480" w:lineRule="auto"/>
        <w:jc w:val="both"/>
        <w:rPr>
          <w:rFonts w:ascii="Arial" w:hAnsi="Arial" w:cs="Arial"/>
        </w:rPr>
      </w:pPr>
      <w:r>
        <w:rPr>
          <w:rFonts w:ascii="Arial" w:hAnsi="Arial" w:cs="Arial"/>
          <w:b/>
        </w:rPr>
        <w:t>Discussion</w:t>
      </w:r>
      <w:r w:rsidR="005D4146">
        <w:rPr>
          <w:rFonts w:ascii="Arial" w:hAnsi="Arial" w:cs="Arial"/>
        </w:rPr>
        <w:t>The key research question here is whether there i</w:t>
      </w:r>
      <w:r w:rsidR="00F73090" w:rsidRPr="00CA7074">
        <w:rPr>
          <w:rFonts w:ascii="Arial" w:hAnsi="Arial" w:cs="Arial"/>
        </w:rPr>
        <w:t>s evidence</w:t>
      </w:r>
      <w:r w:rsidR="00F43C61" w:rsidRPr="00CA7074">
        <w:rPr>
          <w:rFonts w:ascii="Arial" w:hAnsi="Arial" w:cs="Arial"/>
        </w:rPr>
        <w:t>, in this case,</w:t>
      </w:r>
      <w:r w:rsidR="005D4146">
        <w:rPr>
          <w:rFonts w:ascii="Arial" w:hAnsi="Arial" w:cs="Arial"/>
        </w:rPr>
        <w:t xml:space="preserve"> of </w:t>
      </w:r>
      <w:r w:rsidR="00F73090" w:rsidRPr="00CA7074">
        <w:rPr>
          <w:rFonts w:ascii="Arial" w:hAnsi="Arial" w:cs="Arial"/>
        </w:rPr>
        <w:t xml:space="preserve">differences in policy style between </w:t>
      </w:r>
      <w:r w:rsidR="005D4146">
        <w:rPr>
          <w:rFonts w:ascii="Arial" w:hAnsi="Arial" w:cs="Arial"/>
        </w:rPr>
        <w:t>the British and</w:t>
      </w:r>
      <w:r w:rsidR="00D622E6">
        <w:rPr>
          <w:rFonts w:ascii="Arial" w:hAnsi="Arial" w:cs="Arial"/>
        </w:rPr>
        <w:t xml:space="preserve"> Danish system</w:t>
      </w:r>
      <w:r w:rsidR="005D4146">
        <w:rPr>
          <w:rFonts w:ascii="Arial" w:hAnsi="Arial" w:cs="Arial"/>
        </w:rPr>
        <w:t>s.</w:t>
      </w:r>
      <w:r w:rsidR="00F73090" w:rsidRPr="00CA7074">
        <w:rPr>
          <w:rFonts w:ascii="Arial" w:hAnsi="Arial" w:cs="Arial"/>
        </w:rPr>
        <w:t xml:space="preserve"> The answer is ‘yes’. </w:t>
      </w:r>
      <w:r>
        <w:rPr>
          <w:rFonts w:ascii="Arial" w:hAnsi="Arial" w:cs="Arial"/>
        </w:rPr>
        <w:t xml:space="preserve">There is clear evidence  for difference </w:t>
      </w:r>
      <w:r w:rsidR="00F73090" w:rsidRPr="00CA7074">
        <w:rPr>
          <w:rFonts w:ascii="Arial" w:hAnsi="Arial" w:cs="Arial"/>
        </w:rPr>
        <w:t xml:space="preserve">in the case of central-local relations </w:t>
      </w:r>
      <w:r w:rsidR="00314F10">
        <w:rPr>
          <w:rFonts w:ascii="Arial" w:hAnsi="Arial" w:cs="Arial"/>
        </w:rPr>
        <w:t>in policy implementation</w:t>
      </w:r>
      <w:r>
        <w:rPr>
          <w:rFonts w:ascii="Arial" w:hAnsi="Arial" w:cs="Arial"/>
        </w:rPr>
        <w:t xml:space="preserve">. There is also evidence of difference in the case of </w:t>
      </w:r>
      <w:r w:rsidR="00A11980">
        <w:rPr>
          <w:rFonts w:ascii="Arial" w:hAnsi="Arial" w:cs="Arial"/>
        </w:rPr>
        <w:t>p</w:t>
      </w:r>
      <w:r w:rsidR="00F73090" w:rsidRPr="00CA7074">
        <w:rPr>
          <w:rFonts w:ascii="Arial" w:hAnsi="Arial" w:cs="Arial"/>
        </w:rPr>
        <w:t>olicy formation</w:t>
      </w:r>
      <w:r>
        <w:rPr>
          <w:rFonts w:ascii="Arial" w:hAnsi="Arial" w:cs="Arial"/>
        </w:rPr>
        <w:t>, although there is room for debate over whether this difference is formal or whether it can lead to substantially different outcomes.</w:t>
      </w:r>
      <w:r w:rsidR="00F73090" w:rsidRPr="00CA7074">
        <w:rPr>
          <w:rFonts w:ascii="Arial" w:hAnsi="Arial" w:cs="Arial"/>
        </w:rPr>
        <w:t xml:space="preserve">. </w:t>
      </w:r>
    </w:p>
    <w:p w:rsidR="005D4146" w:rsidRDefault="005D4146" w:rsidP="005158B5">
      <w:pPr>
        <w:spacing w:line="480" w:lineRule="auto"/>
        <w:jc w:val="both"/>
        <w:rPr>
          <w:rFonts w:ascii="Arial" w:hAnsi="Arial" w:cs="Arial"/>
        </w:rPr>
      </w:pPr>
    </w:p>
    <w:p w:rsidR="000D2DB2" w:rsidRDefault="00F73090" w:rsidP="005158B5">
      <w:pPr>
        <w:spacing w:line="480" w:lineRule="auto"/>
        <w:jc w:val="both"/>
        <w:rPr>
          <w:rFonts w:ascii="Arial" w:hAnsi="Arial" w:cs="Arial"/>
        </w:rPr>
      </w:pPr>
      <w:r w:rsidRPr="00CA7074">
        <w:rPr>
          <w:rFonts w:ascii="Arial" w:hAnsi="Arial" w:cs="Arial"/>
        </w:rPr>
        <w:t xml:space="preserve">In the case of </w:t>
      </w:r>
      <w:r w:rsidR="005D4146">
        <w:rPr>
          <w:rFonts w:ascii="Arial" w:hAnsi="Arial" w:cs="Arial"/>
        </w:rPr>
        <w:t>policy implementation,</w:t>
      </w:r>
      <w:r w:rsidR="00145A04">
        <w:rPr>
          <w:rFonts w:ascii="Arial" w:hAnsi="Arial" w:cs="Arial"/>
        </w:rPr>
        <w:t xml:space="preserve"> </w:t>
      </w:r>
      <w:r w:rsidR="00145A04" w:rsidRPr="00CA7074">
        <w:rPr>
          <w:rFonts w:ascii="Arial" w:hAnsi="Arial" w:cs="Arial"/>
        </w:rPr>
        <w:t xml:space="preserve">elative </w:t>
      </w:r>
      <w:r w:rsidRPr="00CA7074">
        <w:rPr>
          <w:rFonts w:ascii="Arial" w:hAnsi="Arial" w:cs="Arial"/>
        </w:rPr>
        <w:t xml:space="preserve">British centralisation of authority is evident in the British planning system for renewable energy when compared to Denmark. In Denmark power is more decentralised to local authorities, </w:t>
      </w:r>
      <w:r w:rsidR="00943B02">
        <w:rPr>
          <w:rFonts w:ascii="Arial" w:hAnsi="Arial" w:cs="Arial"/>
        </w:rPr>
        <w:t>i</w:t>
      </w:r>
      <w:r w:rsidRPr="00CA7074">
        <w:rPr>
          <w:rFonts w:ascii="Arial" w:hAnsi="Arial" w:cs="Arial"/>
        </w:rPr>
        <w:t xml:space="preserve">n a context where the room for discretion by any level is limited by a sort of planning ‘constitution’ </w:t>
      </w:r>
      <w:r w:rsidR="002D41BF">
        <w:rPr>
          <w:rFonts w:ascii="Arial" w:hAnsi="Arial" w:cs="Arial"/>
        </w:rPr>
        <w:t>which identifies where developers can, or cannot propose to install power plant</w:t>
      </w:r>
      <w:r w:rsidR="005D4146">
        <w:rPr>
          <w:rFonts w:ascii="Arial" w:hAnsi="Arial" w:cs="Arial"/>
        </w:rPr>
        <w:t>s</w:t>
      </w:r>
      <w:r w:rsidR="002D41BF">
        <w:rPr>
          <w:rFonts w:ascii="Arial" w:hAnsi="Arial" w:cs="Arial"/>
        </w:rPr>
        <w:t xml:space="preserve">. </w:t>
      </w:r>
      <w:r w:rsidRPr="00CA7074">
        <w:rPr>
          <w:rFonts w:ascii="Arial" w:hAnsi="Arial" w:cs="Arial"/>
        </w:rPr>
        <w:t>By contrast, the UK gives, in effect, much greater discretion to developers</w:t>
      </w:r>
      <w:r w:rsidR="002D41BF">
        <w:rPr>
          <w:rFonts w:ascii="Arial" w:hAnsi="Arial" w:cs="Arial"/>
        </w:rPr>
        <w:t xml:space="preserve"> to propose schemes where they wish</w:t>
      </w:r>
      <w:r w:rsidRPr="00CA7074">
        <w:rPr>
          <w:rFonts w:ascii="Arial" w:hAnsi="Arial" w:cs="Arial"/>
        </w:rPr>
        <w:t xml:space="preserve">, and gives the ability of the government to support the developers when it is moved to do so. By contrast, Denmark gives less discretion to developers, and the growth of renewable energy and wind power in particular has, historically, mainly been advanced through local involvement in windfarm ownership. </w:t>
      </w:r>
    </w:p>
    <w:p w:rsidR="005D4146" w:rsidRDefault="005D4146" w:rsidP="005158B5">
      <w:pPr>
        <w:spacing w:line="480" w:lineRule="auto"/>
        <w:jc w:val="both"/>
        <w:rPr>
          <w:rFonts w:ascii="Arial" w:hAnsi="Arial" w:cs="Arial"/>
        </w:rPr>
      </w:pPr>
    </w:p>
    <w:p w:rsidR="00F73090" w:rsidRDefault="00F73090" w:rsidP="005158B5">
      <w:pPr>
        <w:spacing w:line="480" w:lineRule="auto"/>
        <w:jc w:val="both"/>
        <w:rPr>
          <w:rFonts w:ascii="Arial" w:hAnsi="Arial" w:cs="Arial"/>
        </w:rPr>
      </w:pPr>
      <w:r w:rsidRPr="00CA7074">
        <w:rPr>
          <w:rFonts w:ascii="Arial" w:hAnsi="Arial" w:cs="Arial"/>
        </w:rPr>
        <w:t>A clear distinction between the two countries em</w:t>
      </w:r>
      <w:r w:rsidR="00181B94">
        <w:rPr>
          <w:rFonts w:ascii="Arial" w:hAnsi="Arial" w:cs="Arial"/>
        </w:rPr>
        <w:t>erges in the much greater</w:t>
      </w:r>
      <w:r w:rsidRPr="00CA7074">
        <w:rPr>
          <w:rFonts w:ascii="Arial" w:hAnsi="Arial" w:cs="Arial"/>
        </w:rPr>
        <w:t xml:space="preserve"> emphasis on ‘bottom-up’ development</w:t>
      </w:r>
      <w:r w:rsidR="00F43C61" w:rsidRPr="00CA7074">
        <w:rPr>
          <w:rFonts w:ascii="Arial" w:hAnsi="Arial" w:cs="Arial"/>
        </w:rPr>
        <w:t xml:space="preserve"> and consultation </w:t>
      </w:r>
      <w:r w:rsidRPr="00CA7074">
        <w:rPr>
          <w:rFonts w:ascii="Arial" w:hAnsi="Arial" w:cs="Arial"/>
        </w:rPr>
        <w:t>in Denmark, whilst in the UK</w:t>
      </w:r>
      <w:r w:rsidR="00181B94">
        <w:rPr>
          <w:rFonts w:ascii="Arial" w:hAnsi="Arial" w:cs="Arial"/>
        </w:rPr>
        <w:t xml:space="preserve"> consultation is done in a </w:t>
      </w:r>
      <w:r w:rsidRPr="00CA7074">
        <w:rPr>
          <w:rFonts w:ascii="Arial" w:hAnsi="Arial" w:cs="Arial"/>
        </w:rPr>
        <w:t>‘top-down’</w:t>
      </w:r>
      <w:r w:rsidR="00F43C61" w:rsidRPr="00CA7074">
        <w:rPr>
          <w:rFonts w:ascii="Arial" w:hAnsi="Arial" w:cs="Arial"/>
        </w:rPr>
        <w:t xml:space="preserve"> fashion, with the centre </w:t>
      </w:r>
      <w:r w:rsidR="00314F10">
        <w:rPr>
          <w:rFonts w:ascii="Arial" w:hAnsi="Arial" w:cs="Arial"/>
        </w:rPr>
        <w:t>ultimately having</w:t>
      </w:r>
      <w:r w:rsidR="00F43C61" w:rsidRPr="00CA7074">
        <w:rPr>
          <w:rFonts w:ascii="Arial" w:hAnsi="Arial" w:cs="Arial"/>
        </w:rPr>
        <w:t xml:space="preserve"> the final say</w:t>
      </w:r>
      <w:r w:rsidR="00314F10">
        <w:rPr>
          <w:rFonts w:ascii="Arial" w:hAnsi="Arial" w:cs="Arial"/>
        </w:rPr>
        <w:t xml:space="preserve"> on governmental planning dec</w:t>
      </w:r>
      <w:r w:rsidR="00DD305F">
        <w:rPr>
          <w:rFonts w:ascii="Arial" w:hAnsi="Arial" w:cs="Arial"/>
        </w:rPr>
        <w:t>isions in case of disputes over</w:t>
      </w:r>
      <w:r w:rsidR="00314F10">
        <w:rPr>
          <w:rFonts w:ascii="Arial" w:hAnsi="Arial" w:cs="Arial"/>
        </w:rPr>
        <w:t xml:space="preserve"> local authority decisions</w:t>
      </w:r>
      <w:r w:rsidR="00F43C61" w:rsidRPr="00CA7074">
        <w:rPr>
          <w:rFonts w:ascii="Arial" w:hAnsi="Arial" w:cs="Arial"/>
        </w:rPr>
        <w:t>. This may imply that not only is the UK more centralised, but arguably also more reliant on hierarchical relationships. Planning power is nowadays more devolved than it was</w:t>
      </w:r>
      <w:r w:rsidR="001C1BB0">
        <w:rPr>
          <w:rFonts w:ascii="Arial" w:hAnsi="Arial" w:cs="Arial"/>
        </w:rPr>
        <w:t xml:space="preserve"> in the case of Scotland and Wales (and also Northern Ireland)</w:t>
      </w:r>
      <w:r w:rsidR="00CC7D05">
        <w:rPr>
          <w:rFonts w:ascii="Arial" w:hAnsi="Arial" w:cs="Arial"/>
        </w:rPr>
        <w:t xml:space="preserve">, but this devolution seems </w:t>
      </w:r>
      <w:r w:rsidR="00F43C61" w:rsidRPr="00CA7074">
        <w:rPr>
          <w:rFonts w:ascii="Arial" w:hAnsi="Arial" w:cs="Arial"/>
        </w:rPr>
        <w:t xml:space="preserve">to create a new pattern of central-local relations </w:t>
      </w:r>
      <w:r w:rsidR="001C1BB0">
        <w:rPr>
          <w:rFonts w:ascii="Arial" w:hAnsi="Arial" w:cs="Arial"/>
        </w:rPr>
        <w:t xml:space="preserve">between devolved central governments and local government </w:t>
      </w:r>
      <w:r w:rsidR="00F43C61" w:rsidRPr="00CA7074">
        <w:rPr>
          <w:rFonts w:ascii="Arial" w:hAnsi="Arial" w:cs="Arial"/>
        </w:rPr>
        <w:t xml:space="preserve">rather than decentralising power to local government. </w:t>
      </w:r>
      <w:r w:rsidR="00E92375">
        <w:rPr>
          <w:rFonts w:ascii="Arial" w:hAnsi="Arial" w:cs="Arial"/>
        </w:rPr>
        <w:t>Certainly</w:t>
      </w:r>
      <w:r w:rsidR="00CC7D05">
        <w:rPr>
          <w:rFonts w:ascii="Arial" w:hAnsi="Arial" w:cs="Arial"/>
        </w:rPr>
        <w:t>,</w:t>
      </w:r>
      <w:r w:rsidR="00E92375">
        <w:rPr>
          <w:rFonts w:ascii="Arial" w:hAnsi="Arial" w:cs="Arial"/>
        </w:rPr>
        <w:t xml:space="preserve"> this difference in policy style does offer the real possibility of a substantial difference in policy implementation outcomes.</w:t>
      </w:r>
    </w:p>
    <w:p w:rsidR="00CC7D05" w:rsidRPr="00CA7074" w:rsidRDefault="00CC7D05" w:rsidP="005158B5">
      <w:pPr>
        <w:spacing w:line="480" w:lineRule="auto"/>
        <w:jc w:val="both"/>
        <w:rPr>
          <w:rFonts w:ascii="Arial" w:hAnsi="Arial" w:cs="Arial"/>
        </w:rPr>
      </w:pPr>
    </w:p>
    <w:p w:rsidR="00BF3AF2" w:rsidRDefault="00F43C61" w:rsidP="005158B5">
      <w:pPr>
        <w:spacing w:line="480" w:lineRule="auto"/>
        <w:jc w:val="both"/>
        <w:rPr>
          <w:rFonts w:ascii="Arial" w:hAnsi="Arial" w:cs="Arial"/>
        </w:rPr>
      </w:pPr>
      <w:r w:rsidRPr="00CA7074">
        <w:rPr>
          <w:rFonts w:ascii="Arial" w:hAnsi="Arial" w:cs="Arial"/>
        </w:rPr>
        <w:t>The picture at a national policy</w:t>
      </w:r>
      <w:r w:rsidR="00314F10">
        <w:rPr>
          <w:rFonts w:ascii="Arial" w:hAnsi="Arial" w:cs="Arial"/>
        </w:rPr>
        <w:t xml:space="preserve"> formation</w:t>
      </w:r>
      <w:r w:rsidRPr="00CA7074">
        <w:rPr>
          <w:rFonts w:ascii="Arial" w:hAnsi="Arial" w:cs="Arial"/>
        </w:rPr>
        <w:t xml:space="preserve"> level </w:t>
      </w:r>
      <w:r w:rsidR="001C1BB0">
        <w:rPr>
          <w:rFonts w:ascii="Arial" w:hAnsi="Arial" w:cs="Arial"/>
        </w:rPr>
        <w:t xml:space="preserve">also </w:t>
      </w:r>
      <w:r w:rsidRPr="00CA7074">
        <w:rPr>
          <w:rFonts w:ascii="Arial" w:hAnsi="Arial" w:cs="Arial"/>
        </w:rPr>
        <w:t>shows signs of differences of policy st</w:t>
      </w:r>
      <w:r w:rsidR="00FF4A71">
        <w:rPr>
          <w:rFonts w:ascii="Arial" w:hAnsi="Arial" w:cs="Arial"/>
        </w:rPr>
        <w:t>yle in that in Denmark</w:t>
      </w:r>
      <w:r w:rsidR="00F10219">
        <w:rPr>
          <w:rFonts w:ascii="Arial" w:hAnsi="Arial" w:cs="Arial"/>
        </w:rPr>
        <w:t xml:space="preserve"> there was </w:t>
      </w:r>
      <w:r w:rsidRPr="00CA7074">
        <w:rPr>
          <w:rFonts w:ascii="Arial" w:hAnsi="Arial" w:cs="Arial"/>
        </w:rPr>
        <w:t xml:space="preserve">an effort, successful in the most recent renewable energy legislative cycle in 2010-2012, to obtain policy consensus among the parties on legislative proposals. </w:t>
      </w:r>
      <w:r w:rsidR="001C1BB0">
        <w:rPr>
          <w:rFonts w:ascii="Arial" w:hAnsi="Arial" w:cs="Arial"/>
        </w:rPr>
        <w:t>By contrast</w:t>
      </w:r>
      <w:r w:rsidR="00FF4A71">
        <w:rPr>
          <w:rFonts w:ascii="Arial" w:hAnsi="Arial" w:cs="Arial"/>
        </w:rPr>
        <w:t>,</w:t>
      </w:r>
      <w:r w:rsidR="001C1BB0">
        <w:rPr>
          <w:rFonts w:ascii="Arial" w:hAnsi="Arial" w:cs="Arial"/>
        </w:rPr>
        <w:t xml:space="preserve"> i</w:t>
      </w:r>
      <w:r w:rsidRPr="00CA7074">
        <w:rPr>
          <w:rFonts w:ascii="Arial" w:hAnsi="Arial" w:cs="Arial"/>
        </w:rPr>
        <w:t>n the UK there is the appearance of a more adversarial system in that the Government generates proposals without any prior attempt to secure the agreement of the Opposition. Certainly</w:t>
      </w:r>
      <w:r w:rsidR="00FF4A71">
        <w:rPr>
          <w:rFonts w:ascii="Arial" w:hAnsi="Arial" w:cs="Arial"/>
        </w:rPr>
        <w:t>,</w:t>
      </w:r>
      <w:r w:rsidRPr="00CA7074">
        <w:rPr>
          <w:rFonts w:ascii="Arial" w:hAnsi="Arial" w:cs="Arial"/>
        </w:rPr>
        <w:t xml:space="preserve"> there is convergence between the two systems when the formal consultation stage is included, </w:t>
      </w:r>
      <w:r w:rsidR="00490022">
        <w:rPr>
          <w:rFonts w:ascii="Arial" w:hAnsi="Arial" w:cs="Arial"/>
        </w:rPr>
        <w:t>with there being a thorough process of consultations and Select Committee hearings</w:t>
      </w:r>
      <w:r w:rsidR="00306CF3">
        <w:rPr>
          <w:rFonts w:ascii="Arial" w:hAnsi="Arial" w:cs="Arial"/>
        </w:rPr>
        <w:t xml:space="preserve"> in the case of the UK – which appears to be more comprehensive than in the case of Denmark.</w:t>
      </w:r>
      <w:r w:rsidR="00E4621A">
        <w:rPr>
          <w:rFonts w:ascii="Arial" w:hAnsi="Arial" w:cs="Arial"/>
        </w:rPr>
        <w:t xml:space="preserve"> In both cases there is ministerial intervention at a policy formation stage (in the Danish case extending to ministers in waiting from the opposition). However such intervent</w:t>
      </w:r>
      <w:r w:rsidR="00360C0F">
        <w:rPr>
          <w:rFonts w:ascii="Arial" w:hAnsi="Arial" w:cs="Arial"/>
        </w:rPr>
        <w:t>ion only seems to be effective i</w:t>
      </w:r>
      <w:r w:rsidR="00E4621A">
        <w:rPr>
          <w:rFonts w:ascii="Arial" w:hAnsi="Arial" w:cs="Arial"/>
        </w:rPr>
        <w:t>n securing policy change when it coincides with the wishes of key industrial interest groups.</w:t>
      </w:r>
    </w:p>
    <w:p w:rsidR="00360C0F" w:rsidRPr="00CA7074" w:rsidRDefault="00360C0F" w:rsidP="005158B5">
      <w:pPr>
        <w:spacing w:line="480" w:lineRule="auto"/>
        <w:jc w:val="both"/>
        <w:rPr>
          <w:rFonts w:ascii="Arial" w:hAnsi="Arial" w:cs="Arial"/>
        </w:rPr>
      </w:pPr>
    </w:p>
    <w:p w:rsidR="00BF3AF2" w:rsidRDefault="00F43C61" w:rsidP="005158B5">
      <w:pPr>
        <w:spacing w:line="480" w:lineRule="auto"/>
        <w:jc w:val="both"/>
        <w:rPr>
          <w:rFonts w:ascii="Arial" w:hAnsi="Arial" w:cs="Arial"/>
        </w:rPr>
      </w:pPr>
      <w:r w:rsidRPr="00CA7074">
        <w:rPr>
          <w:rFonts w:ascii="Arial" w:hAnsi="Arial" w:cs="Arial"/>
        </w:rPr>
        <w:t xml:space="preserve">Overall, both systems </w:t>
      </w:r>
      <w:r w:rsidR="00943B02">
        <w:rPr>
          <w:rFonts w:ascii="Arial" w:hAnsi="Arial" w:cs="Arial"/>
        </w:rPr>
        <w:t xml:space="preserve">are </w:t>
      </w:r>
      <w:r w:rsidRPr="00CA7074">
        <w:rPr>
          <w:rFonts w:ascii="Arial" w:hAnsi="Arial" w:cs="Arial"/>
        </w:rPr>
        <w:t>subject to consultation through policy communities. However the policy community consultations are structured differently</w:t>
      </w:r>
      <w:r w:rsidR="00530CEE">
        <w:rPr>
          <w:rFonts w:ascii="Arial" w:hAnsi="Arial" w:cs="Arial"/>
        </w:rPr>
        <w:t xml:space="preserve">. </w:t>
      </w:r>
      <w:r w:rsidRPr="00CA7074">
        <w:rPr>
          <w:rFonts w:ascii="Arial" w:hAnsi="Arial" w:cs="Arial"/>
        </w:rPr>
        <w:t xml:space="preserve">This example suggests that </w:t>
      </w:r>
      <w:r w:rsidR="001C1BB0">
        <w:rPr>
          <w:rFonts w:ascii="Arial" w:hAnsi="Arial" w:cs="Arial"/>
        </w:rPr>
        <w:t xml:space="preserve">in the case of the UK </w:t>
      </w:r>
      <w:r w:rsidRPr="00CA7074">
        <w:rPr>
          <w:rFonts w:ascii="Arial" w:hAnsi="Arial" w:cs="Arial"/>
        </w:rPr>
        <w:t xml:space="preserve">there is </w:t>
      </w:r>
      <w:r w:rsidR="001C1BB0">
        <w:rPr>
          <w:rFonts w:ascii="Arial" w:hAnsi="Arial" w:cs="Arial"/>
        </w:rPr>
        <w:t xml:space="preserve">potential </w:t>
      </w:r>
      <w:r w:rsidRPr="00CA7074">
        <w:rPr>
          <w:rFonts w:ascii="Arial" w:hAnsi="Arial" w:cs="Arial"/>
        </w:rPr>
        <w:t xml:space="preserve">for </w:t>
      </w:r>
      <w:r w:rsidR="001C1BB0">
        <w:rPr>
          <w:rFonts w:ascii="Arial" w:hAnsi="Arial" w:cs="Arial"/>
        </w:rPr>
        <w:t>initial policy</w:t>
      </w:r>
      <w:r w:rsidRPr="00CA7074">
        <w:rPr>
          <w:rFonts w:ascii="Arial" w:hAnsi="Arial" w:cs="Arial"/>
        </w:rPr>
        <w:t xml:space="preserve"> proposals to be tailored to suit interests that are closest to the civil service </w:t>
      </w:r>
      <w:r w:rsidR="00A214C5" w:rsidRPr="00CA7074">
        <w:rPr>
          <w:rFonts w:ascii="Arial" w:hAnsi="Arial" w:cs="Arial"/>
        </w:rPr>
        <w:t xml:space="preserve">and governing politicians, whereas in the case of Denmark, </w:t>
      </w:r>
      <w:r w:rsidR="00BA723F">
        <w:rPr>
          <w:rFonts w:ascii="Arial" w:hAnsi="Arial" w:cs="Arial"/>
        </w:rPr>
        <w:t xml:space="preserve">this possibility is militated by </w:t>
      </w:r>
      <w:r w:rsidR="00A214C5" w:rsidRPr="00CA7074">
        <w:rPr>
          <w:rFonts w:ascii="Arial" w:hAnsi="Arial" w:cs="Arial"/>
        </w:rPr>
        <w:t xml:space="preserve">all of the major interest groups </w:t>
      </w:r>
      <w:r w:rsidR="00BA723F">
        <w:rPr>
          <w:rFonts w:ascii="Arial" w:hAnsi="Arial" w:cs="Arial"/>
        </w:rPr>
        <w:t>having</w:t>
      </w:r>
      <w:r w:rsidR="00A214C5" w:rsidRPr="00CA7074">
        <w:rPr>
          <w:rFonts w:ascii="Arial" w:hAnsi="Arial" w:cs="Arial"/>
        </w:rPr>
        <w:t xml:space="preserve"> access to the non-governing parties before the proposals are formulated. Indeed, in the case of Denmark, the policy cycle began outside of government with a report by an independent Commission led by academics. In the UK, the nearest substitute to the Climate Commission in Denmark is the Committee on Climate Change. </w:t>
      </w:r>
      <w:r w:rsidR="00F10219">
        <w:rPr>
          <w:rFonts w:ascii="Arial" w:hAnsi="Arial" w:cs="Arial"/>
        </w:rPr>
        <w:t>This gives independent advice, but this independence is conditioned by the fact that th</w:t>
      </w:r>
      <w:r w:rsidR="00A214C5" w:rsidRPr="00CA7074">
        <w:rPr>
          <w:rFonts w:ascii="Arial" w:hAnsi="Arial" w:cs="Arial"/>
        </w:rPr>
        <w:t xml:space="preserve">e leadership of this body is entrusted to a political appointment. </w:t>
      </w:r>
      <w:r w:rsidR="001C1BB0">
        <w:rPr>
          <w:rFonts w:ascii="Arial" w:hAnsi="Arial" w:cs="Arial"/>
        </w:rPr>
        <w:t>On the other hand</w:t>
      </w:r>
      <w:r w:rsidR="008F5B8A">
        <w:rPr>
          <w:rFonts w:ascii="Arial" w:hAnsi="Arial" w:cs="Arial"/>
        </w:rPr>
        <w:t>,</w:t>
      </w:r>
      <w:r w:rsidR="001C1BB0">
        <w:rPr>
          <w:rFonts w:ascii="Arial" w:hAnsi="Arial" w:cs="Arial"/>
        </w:rPr>
        <w:t xml:space="preserve"> the British system involves a public and rigorous process for consulting over government proposals involving a select committee hearing system that is not paralleled in the case of Denmark. </w:t>
      </w:r>
    </w:p>
    <w:p w:rsidR="008F5B8A" w:rsidRPr="00CA7074" w:rsidRDefault="008F5B8A" w:rsidP="005158B5">
      <w:pPr>
        <w:spacing w:line="480" w:lineRule="auto"/>
        <w:jc w:val="both"/>
        <w:rPr>
          <w:rFonts w:ascii="Arial" w:hAnsi="Arial" w:cs="Arial"/>
        </w:rPr>
      </w:pPr>
    </w:p>
    <w:p w:rsidR="00E92375" w:rsidRDefault="000D2DB2" w:rsidP="005158B5">
      <w:pPr>
        <w:spacing w:line="480" w:lineRule="auto"/>
        <w:jc w:val="both"/>
        <w:rPr>
          <w:rFonts w:ascii="Arial" w:hAnsi="Arial" w:cs="Arial"/>
        </w:rPr>
      </w:pPr>
      <w:r>
        <w:rPr>
          <w:rFonts w:ascii="Arial" w:hAnsi="Arial" w:cs="Arial"/>
        </w:rPr>
        <w:t>I</w:t>
      </w:r>
      <w:r w:rsidR="00E92375">
        <w:rPr>
          <w:rFonts w:ascii="Arial" w:hAnsi="Arial" w:cs="Arial"/>
        </w:rPr>
        <w:t>n this policy area there was relative consensus among the main parties anyway, so it is not clear that a different policy style would lead to a substantial policy difference in practice.</w:t>
      </w:r>
      <w:r>
        <w:rPr>
          <w:rFonts w:ascii="Arial" w:hAnsi="Arial" w:cs="Arial"/>
        </w:rPr>
        <w:t xml:space="preserve"> But nevertheless, a distinctive British policy style is still evident, and if policy style is an outcome per se, then a difference exists.</w:t>
      </w:r>
    </w:p>
    <w:p w:rsidR="008F5B8A" w:rsidRDefault="000D5018" w:rsidP="005158B5">
      <w:pPr>
        <w:spacing w:line="480" w:lineRule="auto"/>
        <w:jc w:val="both"/>
        <w:rPr>
          <w:rFonts w:ascii="Arial" w:hAnsi="Arial" w:cs="Arial"/>
        </w:rPr>
      </w:pPr>
      <w:r>
        <w:rPr>
          <w:rFonts w:ascii="Arial" w:hAnsi="Arial" w:cs="Arial"/>
        </w:rPr>
        <w:t>Conclusion</w:t>
      </w:r>
    </w:p>
    <w:p w:rsidR="00F24564" w:rsidRDefault="000C12D2" w:rsidP="005158B5">
      <w:pPr>
        <w:spacing w:line="480" w:lineRule="auto"/>
        <w:jc w:val="both"/>
        <w:rPr>
          <w:rFonts w:ascii="Arial" w:hAnsi="Arial" w:cs="Arial"/>
        </w:rPr>
      </w:pPr>
      <w:r>
        <w:rPr>
          <w:rFonts w:ascii="Arial" w:hAnsi="Arial" w:cs="Arial"/>
        </w:rPr>
        <w:t>In conclusion</w:t>
      </w:r>
      <w:r w:rsidR="00C51AE6">
        <w:rPr>
          <w:rFonts w:ascii="Arial" w:hAnsi="Arial" w:cs="Arial"/>
        </w:rPr>
        <w:t xml:space="preserve">, in the case of </w:t>
      </w:r>
      <w:r w:rsidR="000D2DB2">
        <w:rPr>
          <w:rFonts w:ascii="Arial" w:hAnsi="Arial" w:cs="Arial"/>
        </w:rPr>
        <w:t xml:space="preserve">policy implementation through </w:t>
      </w:r>
      <w:r w:rsidR="00C51AE6">
        <w:rPr>
          <w:rFonts w:ascii="Arial" w:hAnsi="Arial" w:cs="Arial"/>
        </w:rPr>
        <w:t>central-local government relations,</w:t>
      </w:r>
      <w:r w:rsidR="00A214C5" w:rsidRPr="00CA7074">
        <w:rPr>
          <w:rFonts w:ascii="Arial" w:hAnsi="Arial" w:cs="Arial"/>
        </w:rPr>
        <w:t xml:space="preserve"> there is </w:t>
      </w:r>
      <w:r w:rsidR="000D2DB2">
        <w:rPr>
          <w:rFonts w:ascii="Arial" w:hAnsi="Arial" w:cs="Arial"/>
        </w:rPr>
        <w:t xml:space="preserve">clear </w:t>
      </w:r>
      <w:r w:rsidR="00A214C5" w:rsidRPr="00CA7074">
        <w:rPr>
          <w:rFonts w:ascii="Arial" w:hAnsi="Arial" w:cs="Arial"/>
        </w:rPr>
        <w:t xml:space="preserve">evidence of what </w:t>
      </w:r>
      <w:r w:rsidR="00160257">
        <w:rPr>
          <w:rFonts w:ascii="Arial" w:hAnsi="Arial" w:cs="Arial"/>
        </w:rPr>
        <w:t xml:space="preserve">has been </w:t>
      </w:r>
      <w:r w:rsidR="00A214C5" w:rsidRPr="00CA7074">
        <w:rPr>
          <w:rFonts w:ascii="Arial" w:hAnsi="Arial" w:cs="Arial"/>
        </w:rPr>
        <w:t xml:space="preserve">called the </w:t>
      </w:r>
      <w:r w:rsidR="004E134C">
        <w:rPr>
          <w:rFonts w:ascii="Arial" w:hAnsi="Arial" w:cs="Arial"/>
        </w:rPr>
        <w:t>‘strong’ (Marsh et al 2003) or ‘</w:t>
      </w:r>
      <w:r w:rsidR="00A214C5" w:rsidRPr="00CA7074">
        <w:rPr>
          <w:rFonts w:ascii="Arial" w:hAnsi="Arial" w:cs="Arial"/>
        </w:rPr>
        <w:t>centralised</w:t>
      </w:r>
      <w:r w:rsidR="004E134C">
        <w:rPr>
          <w:rFonts w:ascii="Arial" w:hAnsi="Arial" w:cs="Arial"/>
        </w:rPr>
        <w:t>’</w:t>
      </w:r>
      <w:r w:rsidR="00A214C5" w:rsidRPr="00CA7074">
        <w:rPr>
          <w:rFonts w:ascii="Arial" w:hAnsi="Arial" w:cs="Arial"/>
        </w:rPr>
        <w:t xml:space="preserve"> nature of British politics compared to other political</w:t>
      </w:r>
      <w:r w:rsidR="00FE1AA2">
        <w:rPr>
          <w:rFonts w:ascii="Arial" w:hAnsi="Arial" w:cs="Arial"/>
        </w:rPr>
        <w:t xml:space="preserve"> systems</w:t>
      </w:r>
      <w:r w:rsidR="00160257">
        <w:rPr>
          <w:rFonts w:ascii="Arial" w:hAnsi="Arial" w:cs="Arial"/>
        </w:rPr>
        <w:t xml:space="preserve"> (Bevir and Rhodes 2003)</w:t>
      </w:r>
      <w:r w:rsidR="001C1BB0">
        <w:rPr>
          <w:rFonts w:ascii="Arial" w:hAnsi="Arial" w:cs="Arial"/>
        </w:rPr>
        <w:t xml:space="preserve">. </w:t>
      </w:r>
      <w:r w:rsidR="000D2DB2">
        <w:rPr>
          <w:rFonts w:ascii="Arial" w:hAnsi="Arial" w:cs="Arial"/>
        </w:rPr>
        <w:t>There is also</w:t>
      </w:r>
      <w:r w:rsidR="00BA723F">
        <w:rPr>
          <w:rFonts w:ascii="Arial" w:hAnsi="Arial" w:cs="Arial"/>
        </w:rPr>
        <w:t xml:space="preserve"> evidence of differences in policy style between Denmark and the UK at both policy formation and policy implementation levels. </w:t>
      </w:r>
    </w:p>
    <w:p w:rsidR="006046D0" w:rsidRDefault="006046D0" w:rsidP="005158B5">
      <w:pPr>
        <w:spacing w:line="480" w:lineRule="auto"/>
        <w:jc w:val="both"/>
        <w:rPr>
          <w:rFonts w:ascii="Arial" w:hAnsi="Arial" w:cs="Arial"/>
        </w:rPr>
      </w:pPr>
    </w:p>
    <w:p w:rsidR="00F24564" w:rsidRDefault="00F24564" w:rsidP="005158B5">
      <w:pPr>
        <w:spacing w:line="480" w:lineRule="auto"/>
        <w:jc w:val="both"/>
        <w:rPr>
          <w:rFonts w:ascii="Arial" w:hAnsi="Arial" w:cs="Arial"/>
        </w:rPr>
      </w:pPr>
      <w:r>
        <w:rPr>
          <w:rFonts w:ascii="Arial" w:hAnsi="Arial" w:cs="Arial"/>
        </w:rPr>
        <w:t>In this case study it should be remembered that the</w:t>
      </w:r>
      <w:r w:rsidR="006046D0">
        <w:rPr>
          <w:rFonts w:ascii="Arial" w:hAnsi="Arial" w:cs="Arial"/>
        </w:rPr>
        <w:t xml:space="preserve"> broad outlines</w:t>
      </w:r>
      <w:r>
        <w:rPr>
          <w:rFonts w:ascii="Arial" w:hAnsi="Arial" w:cs="Arial"/>
        </w:rPr>
        <w:t xml:space="preserve"> of policy are supported by party consensus in both countries. </w:t>
      </w:r>
      <w:r w:rsidR="00B555DB">
        <w:rPr>
          <w:rFonts w:ascii="Arial" w:hAnsi="Arial" w:cs="Arial"/>
        </w:rPr>
        <w:t>Yet</w:t>
      </w:r>
      <w:r w:rsidR="006046D0">
        <w:rPr>
          <w:rFonts w:ascii="Arial" w:hAnsi="Arial" w:cs="Arial"/>
        </w:rPr>
        <w:t>,</w:t>
      </w:r>
      <w:r>
        <w:rPr>
          <w:rFonts w:ascii="Arial" w:hAnsi="Arial" w:cs="Arial"/>
        </w:rPr>
        <w:t>p</w:t>
      </w:r>
      <w:r w:rsidR="00AD67ED">
        <w:rPr>
          <w:rFonts w:ascii="Arial" w:hAnsi="Arial" w:cs="Arial"/>
        </w:rPr>
        <w:t xml:space="preserve"> </w:t>
      </w:r>
      <w:r>
        <w:rPr>
          <w:rFonts w:ascii="Arial" w:hAnsi="Arial" w:cs="Arial"/>
        </w:rPr>
        <w:t>olicies will be chosen by policy</w:t>
      </w:r>
      <w:r w:rsidR="006046D0">
        <w:rPr>
          <w:rFonts w:ascii="Arial" w:hAnsi="Arial" w:cs="Arial"/>
        </w:rPr>
        <w:t xml:space="preserve"> communities that involve </w:t>
      </w:r>
      <w:r>
        <w:rPr>
          <w:rFonts w:ascii="Arial" w:hAnsi="Arial" w:cs="Arial"/>
        </w:rPr>
        <w:t xml:space="preserve">politicians, not just civil servants operating to implement ‘humdrum’ decisions. </w:t>
      </w:r>
      <w:r w:rsidR="00BA0E88">
        <w:rPr>
          <w:rFonts w:ascii="Arial" w:hAnsi="Arial" w:cs="Arial"/>
        </w:rPr>
        <w:t xml:space="preserve">It is evident that in both the UK and Denmark politicians have been widely involved in making key decisions about renewable energy policy.This in itself tends to contradict notions that most decisions are humdrum ones involving reaching agreement between interest groups and civil servants. </w:t>
      </w:r>
      <w:r w:rsidR="00A271D1">
        <w:rPr>
          <w:rFonts w:ascii="Arial" w:hAnsi="Arial" w:cs="Arial"/>
        </w:rPr>
        <w:t xml:space="preserve">Moreover, this case study also demonstrates </w:t>
      </w:r>
      <w:r w:rsidR="004C5B3A">
        <w:rPr>
          <w:rFonts w:ascii="Arial" w:hAnsi="Arial" w:cs="Arial"/>
        </w:rPr>
        <w:t xml:space="preserve">that it is </w:t>
      </w:r>
      <w:r w:rsidR="00A271D1">
        <w:rPr>
          <w:rFonts w:ascii="Arial" w:hAnsi="Arial" w:cs="Arial"/>
        </w:rPr>
        <w:t>difficult to pidgeon</w:t>
      </w:r>
      <w:r w:rsidR="004C5B3A">
        <w:rPr>
          <w:rFonts w:ascii="Arial" w:hAnsi="Arial" w:cs="Arial"/>
        </w:rPr>
        <w:t>-</w:t>
      </w:r>
      <w:r w:rsidR="00A271D1">
        <w:rPr>
          <w:rFonts w:ascii="Arial" w:hAnsi="Arial" w:cs="Arial"/>
        </w:rPr>
        <w:t>hole a policy issue as ‘controversial’ or not. Certainly</w:t>
      </w:r>
      <w:r w:rsidR="006046D0">
        <w:rPr>
          <w:rFonts w:ascii="Arial" w:hAnsi="Arial" w:cs="Arial"/>
        </w:rPr>
        <w:t>,</w:t>
      </w:r>
      <w:r w:rsidR="00A271D1">
        <w:rPr>
          <w:rFonts w:ascii="Arial" w:hAnsi="Arial" w:cs="Arial"/>
        </w:rPr>
        <w:t xml:space="preserve"> wind power is often controversial at the planning level, but it is debateable how controversial the renewable energy legislation has been at a national level compared to other types of legislation. </w:t>
      </w:r>
      <w:r w:rsidR="00943B02">
        <w:rPr>
          <w:rFonts w:ascii="Arial" w:hAnsi="Arial" w:cs="Arial"/>
        </w:rPr>
        <w:t xml:space="preserve">It is a matter of debate as to how typical the policy conditions in this case study actually are, and therefore the extent to which this case points in the direction of suggesting that differences in policy styles are associated with regular differences in types of political outcome. </w:t>
      </w:r>
      <w:r w:rsidR="00BA0E88">
        <w:rPr>
          <w:rFonts w:ascii="Arial" w:hAnsi="Arial" w:cs="Arial"/>
        </w:rPr>
        <w:t>However, it also seems clear from the evidence that in this comparative case study there is then possibility for hierarchical guidance of policy in the U</w:t>
      </w:r>
      <w:r w:rsidR="009F0E8A">
        <w:rPr>
          <w:rFonts w:ascii="Arial" w:hAnsi="Arial" w:cs="Arial"/>
        </w:rPr>
        <w:t>K</w:t>
      </w:r>
      <w:r w:rsidR="00BA0E88">
        <w:rPr>
          <w:rFonts w:ascii="Arial" w:hAnsi="Arial" w:cs="Arial"/>
        </w:rPr>
        <w:t xml:space="preserve"> compared to Denmark where policymaking is made in a less adversarial and more consensual format.</w:t>
      </w:r>
      <w:r w:rsidR="009F0E8A">
        <w:rPr>
          <w:rFonts w:ascii="Arial" w:hAnsi="Arial" w:cs="Arial"/>
        </w:rPr>
        <w:t xml:space="preserve"> Certainly the </w:t>
      </w:r>
      <w:r>
        <w:rPr>
          <w:rFonts w:ascii="Arial" w:hAnsi="Arial" w:cs="Arial"/>
        </w:rPr>
        <w:t xml:space="preserve"> </w:t>
      </w:r>
      <w:r w:rsidR="00AD67ED">
        <w:rPr>
          <w:rFonts w:ascii="Arial" w:hAnsi="Arial" w:cs="Arial"/>
        </w:rPr>
        <w:t>E</w:t>
      </w:r>
      <w:r>
        <w:rPr>
          <w:rFonts w:ascii="Arial" w:hAnsi="Arial" w:cs="Arial"/>
        </w:rPr>
        <w:t>vidence from this comparison suggests that the institutions that underpin policy communities can be different in different countries and that such</w:t>
      </w:r>
      <w:r w:rsidR="00B555DB">
        <w:rPr>
          <w:rFonts w:ascii="Arial" w:hAnsi="Arial" w:cs="Arial"/>
        </w:rPr>
        <w:t xml:space="preserve"> patterns constitute a clearly disc</w:t>
      </w:r>
      <w:r>
        <w:rPr>
          <w:rFonts w:ascii="Arial" w:hAnsi="Arial" w:cs="Arial"/>
        </w:rPr>
        <w:t>ern</w:t>
      </w:r>
      <w:r w:rsidR="00B555DB">
        <w:rPr>
          <w:rFonts w:ascii="Arial" w:hAnsi="Arial" w:cs="Arial"/>
        </w:rPr>
        <w:t>i</w:t>
      </w:r>
      <w:r>
        <w:rPr>
          <w:rFonts w:ascii="Arial" w:hAnsi="Arial" w:cs="Arial"/>
        </w:rPr>
        <w:t xml:space="preserve">ble </w:t>
      </w:r>
      <w:r w:rsidR="00B555DB">
        <w:rPr>
          <w:rFonts w:ascii="Arial" w:hAnsi="Arial" w:cs="Arial"/>
        </w:rPr>
        <w:t xml:space="preserve">difference in </w:t>
      </w:r>
      <w:r>
        <w:rPr>
          <w:rFonts w:ascii="Arial" w:hAnsi="Arial" w:cs="Arial"/>
        </w:rPr>
        <w:t xml:space="preserve">policy styles. </w:t>
      </w:r>
      <w:r w:rsidR="00495A21">
        <w:rPr>
          <w:rFonts w:ascii="Arial" w:hAnsi="Arial" w:cs="Arial"/>
        </w:rPr>
        <w:t>As we have suggested in the introduction, there is a dearth of this type of study. Hence f</w:t>
      </w:r>
      <w:r w:rsidR="009F0E8A">
        <w:rPr>
          <w:rFonts w:ascii="Arial" w:hAnsi="Arial" w:cs="Arial"/>
        </w:rPr>
        <w:t xml:space="preserve">urther studies </w:t>
      </w:r>
      <w:r w:rsidR="00810A0B">
        <w:rPr>
          <w:rFonts w:ascii="Arial" w:hAnsi="Arial" w:cs="Arial"/>
        </w:rPr>
        <w:t xml:space="preserve">comparing policymaking and implementation styles using specific cases of policy construction and local implementation </w:t>
      </w:r>
      <w:r w:rsidR="009F0E8A">
        <w:rPr>
          <w:rFonts w:ascii="Arial" w:hAnsi="Arial" w:cs="Arial"/>
        </w:rPr>
        <w:t xml:space="preserve">would be needed to be completed to establish how generalised </w:t>
      </w:r>
      <w:r w:rsidR="00495A21">
        <w:rPr>
          <w:rFonts w:ascii="Arial" w:hAnsi="Arial" w:cs="Arial"/>
        </w:rPr>
        <w:t>our</w:t>
      </w:r>
      <w:r w:rsidR="009F0E8A">
        <w:rPr>
          <w:rFonts w:ascii="Arial" w:hAnsi="Arial" w:cs="Arial"/>
        </w:rPr>
        <w:t xml:space="preserve"> argument</w:t>
      </w:r>
      <w:r w:rsidR="00495A21">
        <w:rPr>
          <w:rFonts w:ascii="Arial" w:hAnsi="Arial" w:cs="Arial"/>
        </w:rPr>
        <w:t>s</w:t>
      </w:r>
      <w:r w:rsidR="009F0E8A">
        <w:rPr>
          <w:rFonts w:ascii="Arial" w:hAnsi="Arial" w:cs="Arial"/>
        </w:rPr>
        <w:t xml:space="preserve"> may be. </w:t>
      </w:r>
    </w:p>
    <w:p w:rsidR="00F73090" w:rsidRPr="0041138D" w:rsidRDefault="0041138D" w:rsidP="005158B5">
      <w:pPr>
        <w:spacing w:line="480" w:lineRule="auto"/>
        <w:jc w:val="both"/>
        <w:rPr>
          <w:rFonts w:ascii="Arial" w:hAnsi="Arial" w:cs="Arial"/>
          <w:b/>
        </w:rPr>
      </w:pPr>
      <w:r w:rsidRPr="0041138D">
        <w:rPr>
          <w:rFonts w:ascii="Arial" w:hAnsi="Arial" w:cs="Arial"/>
          <w:b/>
        </w:rPr>
        <w:t>Acknowledgement</w:t>
      </w:r>
    </w:p>
    <w:p w:rsidR="0041138D" w:rsidRDefault="0041138D" w:rsidP="005158B5">
      <w:pPr>
        <w:spacing w:line="480" w:lineRule="auto"/>
        <w:jc w:val="both"/>
        <w:rPr>
          <w:rFonts w:ascii="Arial" w:hAnsi="Arial" w:cs="Arial"/>
        </w:rPr>
      </w:pPr>
      <w:r>
        <w:rPr>
          <w:rFonts w:ascii="Arial" w:hAnsi="Arial" w:cs="Arial"/>
        </w:rPr>
        <w:t>We acknowledge the important contribution of David Marsh to this paper through his suggestion, before this paper was researched or written, of doing a comparison between consultation over environmentally-related policy issues in Denmark and the UK</w:t>
      </w:r>
      <w:r w:rsidR="006046D0">
        <w:rPr>
          <w:rFonts w:ascii="Arial" w:hAnsi="Arial" w:cs="Arial"/>
        </w:rPr>
        <w:t>.</w:t>
      </w:r>
    </w:p>
    <w:p w:rsidR="0041138D" w:rsidRPr="00CA7074" w:rsidRDefault="0041138D" w:rsidP="005158B5">
      <w:pPr>
        <w:spacing w:line="480" w:lineRule="auto"/>
        <w:jc w:val="both"/>
        <w:rPr>
          <w:rFonts w:ascii="Arial" w:hAnsi="Arial" w:cs="Arial"/>
        </w:rPr>
      </w:pPr>
    </w:p>
    <w:p w:rsidR="00B134CC" w:rsidRPr="00EF437B" w:rsidRDefault="00BA34B2" w:rsidP="005158B5">
      <w:pPr>
        <w:spacing w:line="480" w:lineRule="auto"/>
        <w:jc w:val="both"/>
        <w:rPr>
          <w:rFonts w:ascii="Arial" w:hAnsi="Arial" w:cs="Arial"/>
          <w:b/>
        </w:rPr>
      </w:pPr>
      <w:r w:rsidRPr="00CA7074">
        <w:rPr>
          <w:rFonts w:ascii="Arial" w:hAnsi="Arial" w:cs="Arial"/>
          <w:b/>
        </w:rPr>
        <w:t>R</w:t>
      </w:r>
      <w:r w:rsidR="00EE5833" w:rsidRPr="00CA7074">
        <w:rPr>
          <w:rFonts w:ascii="Arial" w:hAnsi="Arial" w:cs="Arial"/>
          <w:b/>
        </w:rPr>
        <w:t>eferences</w:t>
      </w:r>
    </w:p>
    <w:p w:rsidR="00825266" w:rsidRPr="00EF437B" w:rsidRDefault="00825266" w:rsidP="005158B5">
      <w:pPr>
        <w:autoSpaceDE w:val="0"/>
        <w:autoSpaceDN w:val="0"/>
        <w:adjustRightInd w:val="0"/>
        <w:spacing w:after="0" w:line="480" w:lineRule="auto"/>
        <w:jc w:val="both"/>
        <w:rPr>
          <w:rFonts w:ascii="Arial" w:hAnsi="Arial" w:cs="Arial"/>
          <w:lang w:eastAsia="en-GB"/>
        </w:rPr>
      </w:pPr>
      <w:r w:rsidRPr="00EF437B">
        <w:rPr>
          <w:rFonts w:ascii="Arial" w:hAnsi="Arial" w:cs="Arial"/>
          <w:lang w:eastAsia="en-GB"/>
        </w:rPr>
        <w:t>Atkinson, M. and Coleman, W. (1989) Strong states and weak states: Sectoral policy networks in</w:t>
      </w:r>
    </w:p>
    <w:p w:rsidR="00825266" w:rsidRPr="00EF437B" w:rsidRDefault="00825266" w:rsidP="005158B5">
      <w:pPr>
        <w:autoSpaceDE w:val="0"/>
        <w:autoSpaceDN w:val="0"/>
        <w:adjustRightInd w:val="0"/>
        <w:spacing w:after="0" w:line="480" w:lineRule="auto"/>
        <w:jc w:val="both"/>
        <w:rPr>
          <w:rFonts w:ascii="Arial" w:hAnsi="Arial" w:cs="Arial"/>
        </w:rPr>
      </w:pPr>
      <w:r w:rsidRPr="00EF437B">
        <w:rPr>
          <w:rFonts w:ascii="Arial" w:hAnsi="Arial" w:cs="Arial"/>
          <w:lang w:eastAsia="en-GB"/>
        </w:rPr>
        <w:t>advanced capitalist economies. British Journal of Political Science 19(1): 47–67</w:t>
      </w:r>
    </w:p>
    <w:p w:rsidR="00825266" w:rsidRPr="00EF437B" w:rsidRDefault="00825266" w:rsidP="005158B5">
      <w:pPr>
        <w:autoSpaceDE w:val="0"/>
        <w:autoSpaceDN w:val="0"/>
        <w:adjustRightInd w:val="0"/>
        <w:spacing w:after="0" w:line="480" w:lineRule="auto"/>
        <w:jc w:val="both"/>
        <w:rPr>
          <w:rFonts w:ascii="Arial" w:hAnsi="Arial" w:cs="Arial"/>
        </w:rPr>
      </w:pPr>
    </w:p>
    <w:p w:rsidR="00F520FE" w:rsidRPr="00EF437B" w:rsidRDefault="00F520FE" w:rsidP="005158B5">
      <w:pPr>
        <w:autoSpaceDE w:val="0"/>
        <w:autoSpaceDN w:val="0"/>
        <w:adjustRightInd w:val="0"/>
        <w:spacing w:after="0" w:line="480" w:lineRule="auto"/>
        <w:jc w:val="both"/>
        <w:rPr>
          <w:rFonts w:ascii="Arial" w:hAnsi="Arial" w:cs="Arial"/>
        </w:rPr>
      </w:pPr>
      <w:r w:rsidRPr="00EF437B">
        <w:rPr>
          <w:rFonts w:ascii="Arial" w:hAnsi="Arial" w:cs="Arial"/>
        </w:rPr>
        <w:t xml:space="preserve">Bevir, M. and Rhodes, R. (2010) </w:t>
      </w:r>
      <w:r w:rsidRPr="00EF437B">
        <w:rPr>
          <w:rFonts w:ascii="Arial" w:hAnsi="Arial" w:cs="Arial"/>
          <w:i/>
        </w:rPr>
        <w:t>The State as Cultural Practice</w:t>
      </w:r>
      <w:r w:rsidRPr="00EF437B">
        <w:rPr>
          <w:rFonts w:ascii="Arial" w:hAnsi="Arial" w:cs="Arial"/>
        </w:rPr>
        <w:t>. Oxford: Oxford University Press</w:t>
      </w:r>
    </w:p>
    <w:p w:rsidR="00F520FE" w:rsidRPr="00EF437B" w:rsidRDefault="00F520FE" w:rsidP="005158B5">
      <w:pPr>
        <w:autoSpaceDE w:val="0"/>
        <w:autoSpaceDN w:val="0"/>
        <w:adjustRightInd w:val="0"/>
        <w:spacing w:after="0" w:line="480" w:lineRule="auto"/>
        <w:jc w:val="both"/>
        <w:rPr>
          <w:rFonts w:ascii="Arial" w:hAnsi="Arial" w:cs="Arial"/>
        </w:rPr>
      </w:pPr>
    </w:p>
    <w:p w:rsidR="001B659B" w:rsidRPr="00EF437B" w:rsidRDefault="001B659B" w:rsidP="005158B5">
      <w:pPr>
        <w:autoSpaceDE w:val="0"/>
        <w:autoSpaceDN w:val="0"/>
        <w:adjustRightInd w:val="0"/>
        <w:spacing w:after="0" w:line="480" w:lineRule="auto"/>
        <w:jc w:val="both"/>
        <w:rPr>
          <w:rFonts w:ascii="Arial" w:hAnsi="Arial" w:cs="Arial"/>
        </w:rPr>
      </w:pPr>
      <w:r w:rsidRPr="00EF437B">
        <w:rPr>
          <w:rFonts w:ascii="Arial" w:hAnsi="Arial" w:cs="Arial"/>
        </w:rPr>
        <w:t xml:space="preserve">Binderkrantz, Anne S., Christiansen, Peter Munk and Pedersen, Helene Helboe (2014). </w:t>
      </w:r>
      <w:r w:rsidRPr="00EF437B">
        <w:rPr>
          <w:rFonts w:ascii="Arial" w:hAnsi="Arial" w:cs="Arial"/>
          <w:i/>
        </w:rPr>
        <w:t>Organisationeripolitik</w:t>
      </w:r>
      <w:r w:rsidRPr="00EF437B">
        <w:rPr>
          <w:rFonts w:ascii="Arial" w:hAnsi="Arial" w:cs="Arial"/>
        </w:rPr>
        <w:t xml:space="preserve">. Copenhagen: Hans ReitzelsForlag. </w:t>
      </w:r>
    </w:p>
    <w:p w:rsidR="00A30EC0" w:rsidRPr="00EF437B" w:rsidRDefault="00A30EC0" w:rsidP="005158B5">
      <w:pPr>
        <w:autoSpaceDE w:val="0"/>
        <w:autoSpaceDN w:val="0"/>
        <w:adjustRightInd w:val="0"/>
        <w:spacing w:after="0" w:line="480" w:lineRule="auto"/>
        <w:jc w:val="both"/>
        <w:rPr>
          <w:rFonts w:ascii="Arial" w:hAnsi="Arial" w:cs="Arial"/>
        </w:rPr>
      </w:pPr>
    </w:p>
    <w:p w:rsidR="001A06B0" w:rsidRPr="00EF437B" w:rsidRDefault="001A06B0" w:rsidP="005158B5">
      <w:pPr>
        <w:autoSpaceDE w:val="0"/>
        <w:autoSpaceDN w:val="0"/>
        <w:adjustRightInd w:val="0"/>
        <w:spacing w:after="0" w:line="480" w:lineRule="auto"/>
        <w:jc w:val="both"/>
        <w:rPr>
          <w:rFonts w:ascii="Arial" w:hAnsi="Arial" w:cs="Arial"/>
        </w:rPr>
      </w:pPr>
      <w:r w:rsidRPr="00EF437B">
        <w:rPr>
          <w:rFonts w:ascii="Arial" w:hAnsi="Arial" w:cs="Arial"/>
        </w:rPr>
        <w:t xml:space="preserve">Cabinet Office (2010) </w:t>
      </w:r>
      <w:r w:rsidRPr="00EF437B">
        <w:rPr>
          <w:rFonts w:ascii="Arial" w:hAnsi="Arial" w:cs="Arial"/>
          <w:i/>
        </w:rPr>
        <w:t>The Coalitio</w:t>
      </w:r>
      <w:r w:rsidR="00414059" w:rsidRPr="00EF437B">
        <w:rPr>
          <w:rFonts w:ascii="Arial" w:hAnsi="Arial" w:cs="Arial"/>
          <w:i/>
        </w:rPr>
        <w:t>n: Our Programme for Government</w:t>
      </w:r>
      <w:r w:rsidRPr="00EF437B">
        <w:rPr>
          <w:rFonts w:ascii="Arial" w:hAnsi="Arial" w:cs="Arial"/>
        </w:rPr>
        <w:t xml:space="preserve">, </w:t>
      </w:r>
      <w:hyperlink r:id="rId11" w:history="1">
        <w:r w:rsidR="004755E9" w:rsidRPr="00EF437B">
          <w:rPr>
            <w:rStyle w:val="Hyperlink"/>
            <w:rFonts w:ascii="Arial" w:hAnsi="Arial" w:cs="Arial"/>
          </w:rPr>
          <w:t>https://www.gov.uk/government/uploads/system/uploads/attachment_data/file/78977/coalition_programme_for_government.pdf</w:t>
        </w:r>
      </w:hyperlink>
    </w:p>
    <w:p w:rsidR="004755E9" w:rsidRDefault="004755E9" w:rsidP="005158B5">
      <w:pPr>
        <w:autoSpaceDE w:val="0"/>
        <w:autoSpaceDN w:val="0"/>
        <w:adjustRightInd w:val="0"/>
        <w:spacing w:after="0" w:line="480" w:lineRule="auto"/>
        <w:jc w:val="both"/>
        <w:rPr>
          <w:rFonts w:ascii="Arial" w:hAnsi="Arial" w:cs="Arial"/>
          <w:lang w:eastAsia="en-GB"/>
        </w:rPr>
      </w:pPr>
      <w:r w:rsidRPr="00EF437B">
        <w:rPr>
          <w:rFonts w:ascii="Arial" w:hAnsi="Arial" w:cs="Arial"/>
          <w:lang w:eastAsia="en-GB"/>
        </w:rPr>
        <w:t>Cairney, P. (2009) The ‘British policy style’ and mental health: Beyond the headlines. Journal of</w:t>
      </w:r>
      <w:r w:rsidR="003C3389">
        <w:rPr>
          <w:rFonts w:ascii="Arial" w:hAnsi="Arial" w:cs="Arial"/>
          <w:lang w:eastAsia="en-GB"/>
        </w:rPr>
        <w:t xml:space="preserve"> </w:t>
      </w:r>
      <w:r w:rsidRPr="00EF437B">
        <w:rPr>
          <w:rFonts w:ascii="Arial" w:hAnsi="Arial" w:cs="Arial"/>
          <w:lang w:eastAsia="en-GB"/>
        </w:rPr>
        <w:t>Social Policy 38(4): 1–18.</w:t>
      </w:r>
    </w:p>
    <w:p w:rsidR="003C3389" w:rsidRPr="00EF437B" w:rsidRDefault="003C3389" w:rsidP="005158B5">
      <w:pPr>
        <w:autoSpaceDE w:val="0"/>
        <w:autoSpaceDN w:val="0"/>
        <w:adjustRightInd w:val="0"/>
        <w:spacing w:after="0" w:line="480" w:lineRule="auto"/>
        <w:jc w:val="both"/>
        <w:rPr>
          <w:rFonts w:ascii="Arial" w:hAnsi="Arial" w:cs="Arial"/>
          <w:lang w:eastAsia="en-GB"/>
        </w:rPr>
      </w:pPr>
    </w:p>
    <w:p w:rsidR="004755E9" w:rsidRDefault="004755E9" w:rsidP="005158B5">
      <w:pPr>
        <w:autoSpaceDE w:val="0"/>
        <w:autoSpaceDN w:val="0"/>
        <w:adjustRightInd w:val="0"/>
        <w:spacing w:after="0" w:line="480" w:lineRule="auto"/>
        <w:jc w:val="both"/>
        <w:rPr>
          <w:rFonts w:ascii="Arial" w:hAnsi="Arial" w:cs="Arial"/>
          <w:lang w:eastAsia="en-GB"/>
        </w:rPr>
      </w:pPr>
      <w:r w:rsidRPr="00EF437B">
        <w:rPr>
          <w:rFonts w:ascii="Arial" w:hAnsi="Arial" w:cs="Arial"/>
          <w:lang w:eastAsia="en-GB"/>
        </w:rPr>
        <w:t>Cairney, P. (2011a) The Scottish Political System since Devolution: From New Politics to the New</w:t>
      </w:r>
      <w:r w:rsidR="003C3389">
        <w:rPr>
          <w:rFonts w:ascii="Arial" w:hAnsi="Arial" w:cs="Arial"/>
          <w:lang w:eastAsia="en-GB"/>
        </w:rPr>
        <w:t xml:space="preserve"> </w:t>
      </w:r>
      <w:r w:rsidRPr="00EF437B">
        <w:rPr>
          <w:rFonts w:ascii="Arial" w:hAnsi="Arial" w:cs="Arial"/>
          <w:lang w:eastAsia="en-GB"/>
        </w:rPr>
        <w:t>Scottish Government. Exeter, Devon: Imprint Academic.</w:t>
      </w:r>
    </w:p>
    <w:p w:rsidR="003C3389" w:rsidRPr="00EF437B" w:rsidRDefault="003C3389" w:rsidP="005158B5">
      <w:pPr>
        <w:autoSpaceDE w:val="0"/>
        <w:autoSpaceDN w:val="0"/>
        <w:adjustRightInd w:val="0"/>
        <w:spacing w:after="0" w:line="480" w:lineRule="auto"/>
        <w:jc w:val="both"/>
        <w:rPr>
          <w:rFonts w:ascii="Arial" w:hAnsi="Arial" w:cs="Arial"/>
          <w:lang w:eastAsia="en-GB"/>
        </w:rPr>
      </w:pPr>
    </w:p>
    <w:p w:rsidR="004755E9" w:rsidRPr="00EF437B" w:rsidRDefault="004755E9" w:rsidP="005158B5">
      <w:pPr>
        <w:autoSpaceDE w:val="0"/>
        <w:autoSpaceDN w:val="0"/>
        <w:adjustRightInd w:val="0"/>
        <w:spacing w:after="0" w:line="480" w:lineRule="auto"/>
        <w:jc w:val="both"/>
        <w:rPr>
          <w:rFonts w:ascii="Arial" w:hAnsi="Arial" w:cs="Arial"/>
        </w:rPr>
      </w:pPr>
      <w:r w:rsidRPr="00EF437B">
        <w:rPr>
          <w:rFonts w:ascii="Arial" w:hAnsi="Arial" w:cs="Arial"/>
          <w:lang w:eastAsia="en-GB"/>
        </w:rPr>
        <w:t>Cairney, P. (2011b) The new British policy style: From a British to a Scottish political tradition?</w:t>
      </w:r>
      <w:r w:rsidR="003C3389">
        <w:rPr>
          <w:rFonts w:ascii="Arial" w:hAnsi="Arial" w:cs="Arial"/>
          <w:lang w:eastAsia="en-GB"/>
        </w:rPr>
        <w:t xml:space="preserve"> </w:t>
      </w:r>
      <w:r w:rsidRPr="00EF437B">
        <w:rPr>
          <w:rFonts w:ascii="Arial" w:hAnsi="Arial" w:cs="Arial"/>
          <w:lang w:eastAsia="en-GB"/>
        </w:rPr>
        <w:t>Political Studies Review 9(2): 208–220</w:t>
      </w:r>
    </w:p>
    <w:p w:rsidR="001A06B0" w:rsidRPr="00EF437B" w:rsidRDefault="001A06B0" w:rsidP="005158B5">
      <w:pPr>
        <w:autoSpaceDE w:val="0"/>
        <w:autoSpaceDN w:val="0"/>
        <w:adjustRightInd w:val="0"/>
        <w:spacing w:after="0" w:line="480" w:lineRule="auto"/>
        <w:jc w:val="both"/>
        <w:rPr>
          <w:rFonts w:ascii="Arial" w:hAnsi="Arial" w:cs="Arial"/>
        </w:rPr>
      </w:pPr>
    </w:p>
    <w:p w:rsidR="00B134CC" w:rsidRPr="00EF437B" w:rsidRDefault="00B134CC" w:rsidP="005158B5">
      <w:pPr>
        <w:autoSpaceDE w:val="0"/>
        <w:autoSpaceDN w:val="0"/>
        <w:adjustRightInd w:val="0"/>
        <w:spacing w:after="0" w:line="480" w:lineRule="auto"/>
        <w:jc w:val="both"/>
        <w:rPr>
          <w:rFonts w:ascii="Arial" w:hAnsi="Arial" w:cs="Arial"/>
        </w:rPr>
      </w:pPr>
      <w:r w:rsidRPr="00EF437B">
        <w:rPr>
          <w:rFonts w:ascii="Arial" w:hAnsi="Arial" w:cs="Arial"/>
        </w:rPr>
        <w:t>Cairney, P, Jordan G., (2013) What is the ‘dominant model’ of British</w:t>
      </w:r>
      <w:r w:rsidR="001F75B0">
        <w:rPr>
          <w:rFonts w:ascii="Arial" w:hAnsi="Arial" w:cs="Arial"/>
        </w:rPr>
        <w:t xml:space="preserve"> </w:t>
      </w:r>
      <w:r w:rsidRPr="00EF437B">
        <w:rPr>
          <w:rFonts w:ascii="Arial" w:hAnsi="Arial" w:cs="Arial"/>
        </w:rPr>
        <w:t>policymaking? Comparing majoritarian and</w:t>
      </w:r>
      <w:r w:rsidR="001F75B0">
        <w:rPr>
          <w:rFonts w:ascii="Arial" w:hAnsi="Arial" w:cs="Arial"/>
        </w:rPr>
        <w:t xml:space="preserve"> </w:t>
      </w:r>
      <w:r w:rsidRPr="00EF437B">
        <w:rPr>
          <w:rFonts w:ascii="Arial" w:hAnsi="Arial" w:cs="Arial"/>
        </w:rPr>
        <w:t xml:space="preserve">policy community ideas, </w:t>
      </w:r>
      <w:r w:rsidRPr="00EF437B">
        <w:rPr>
          <w:rFonts w:ascii="Arial" w:hAnsi="Arial" w:cs="Arial"/>
          <w:i/>
        </w:rPr>
        <w:t>British Politics</w:t>
      </w:r>
      <w:r w:rsidRPr="00EF437B">
        <w:rPr>
          <w:rFonts w:ascii="Arial" w:hAnsi="Arial" w:cs="Arial"/>
        </w:rPr>
        <w:t xml:space="preserve"> Vol. 8, 3, 233–259</w:t>
      </w:r>
    </w:p>
    <w:p w:rsidR="00794D64" w:rsidRPr="00EF437B" w:rsidRDefault="00794D64" w:rsidP="005158B5">
      <w:pPr>
        <w:autoSpaceDE w:val="0"/>
        <w:autoSpaceDN w:val="0"/>
        <w:adjustRightInd w:val="0"/>
        <w:spacing w:after="0" w:line="480" w:lineRule="auto"/>
        <w:jc w:val="both"/>
        <w:rPr>
          <w:rFonts w:ascii="Arial" w:hAnsi="Arial" w:cs="Arial"/>
        </w:rPr>
      </w:pPr>
    </w:p>
    <w:p w:rsidR="00794D64" w:rsidRPr="00EF437B" w:rsidRDefault="00FF61FC" w:rsidP="005158B5">
      <w:pPr>
        <w:pStyle w:val="Heading1"/>
        <w:spacing w:line="480" w:lineRule="auto"/>
        <w:jc w:val="both"/>
        <w:rPr>
          <w:rFonts w:ascii="Arial" w:hAnsi="Arial" w:cs="Arial"/>
          <w:b w:val="0"/>
          <w:color w:val="000000"/>
          <w:sz w:val="22"/>
          <w:szCs w:val="22"/>
        </w:rPr>
      </w:pPr>
      <w:r w:rsidRPr="00EF437B">
        <w:rPr>
          <w:rFonts w:ascii="Arial" w:hAnsi="Arial" w:cs="Arial"/>
          <w:b w:val="0"/>
          <w:color w:val="000000"/>
          <w:sz w:val="22"/>
          <w:szCs w:val="22"/>
        </w:rPr>
        <w:t>Carpenter, J. (2015) Queen's Speech: Major onshore wind farms to lose NSIP status</w:t>
      </w:r>
    </w:p>
    <w:p w:rsidR="00794D64" w:rsidRPr="00EF437B" w:rsidRDefault="00FA0A41" w:rsidP="005158B5">
      <w:pPr>
        <w:pStyle w:val="NormalWeb"/>
        <w:spacing w:before="0" w:beforeAutospacing="0" w:after="0" w:afterAutospacing="0" w:line="480" w:lineRule="auto"/>
        <w:jc w:val="both"/>
        <w:rPr>
          <w:rFonts w:ascii="Arial" w:hAnsi="Arial" w:cs="Arial"/>
          <w:color w:val="000000"/>
          <w:sz w:val="22"/>
          <w:szCs w:val="22"/>
        </w:rPr>
      </w:pPr>
      <w:hyperlink r:id="rId12" w:tgtFrame="_blank" w:history="1">
        <w:r w:rsidR="00FF61FC" w:rsidRPr="00EF437B">
          <w:rPr>
            <w:rStyle w:val="Hyperlink"/>
            <w:rFonts w:ascii="Arial" w:hAnsi="Arial" w:cs="Arial"/>
            <w:sz w:val="22"/>
            <w:szCs w:val="22"/>
          </w:rPr>
          <w:t>http://www.planningresource.co.uk/article/1348870/queens-speech-major-onshore-wind-farms-lose-nsip-status</w:t>
        </w:r>
      </w:hyperlink>
      <w:r w:rsidR="00FF61FC" w:rsidRPr="00EF437B">
        <w:rPr>
          <w:rFonts w:ascii="Arial" w:hAnsi="Arial" w:cs="Arial"/>
          <w:color w:val="000000"/>
          <w:sz w:val="22"/>
          <w:szCs w:val="22"/>
        </w:rPr>
        <w:t>, 27</w:t>
      </w:r>
      <w:r w:rsidR="00FF61FC" w:rsidRPr="00EF437B">
        <w:rPr>
          <w:rFonts w:ascii="Arial" w:hAnsi="Arial" w:cs="Arial"/>
          <w:color w:val="000000"/>
          <w:sz w:val="22"/>
          <w:szCs w:val="22"/>
          <w:vertAlign w:val="superscript"/>
        </w:rPr>
        <w:t>th</w:t>
      </w:r>
      <w:r w:rsidR="00FF61FC" w:rsidRPr="00EF437B">
        <w:rPr>
          <w:rStyle w:val="apple-converted-space"/>
          <w:rFonts w:ascii="Arial" w:hAnsi="Arial" w:cs="Arial"/>
          <w:color w:val="000000"/>
          <w:sz w:val="22"/>
          <w:szCs w:val="22"/>
        </w:rPr>
        <w:t> </w:t>
      </w:r>
      <w:r w:rsidR="00FF61FC" w:rsidRPr="00EF437B">
        <w:rPr>
          <w:rFonts w:ascii="Arial" w:hAnsi="Arial" w:cs="Arial"/>
          <w:color w:val="000000"/>
          <w:sz w:val="22"/>
          <w:szCs w:val="22"/>
        </w:rPr>
        <w:t>May</w:t>
      </w:r>
    </w:p>
    <w:p w:rsidR="00794D64" w:rsidRPr="00EF437B" w:rsidRDefault="00794D64" w:rsidP="005158B5">
      <w:pPr>
        <w:autoSpaceDE w:val="0"/>
        <w:autoSpaceDN w:val="0"/>
        <w:adjustRightInd w:val="0"/>
        <w:spacing w:after="0" w:line="480" w:lineRule="auto"/>
        <w:jc w:val="both"/>
        <w:rPr>
          <w:rFonts w:ascii="Arial" w:hAnsi="Arial" w:cs="Arial"/>
        </w:rPr>
      </w:pPr>
    </w:p>
    <w:p w:rsidR="003252C7" w:rsidRPr="00EF437B" w:rsidRDefault="003252C7" w:rsidP="005158B5">
      <w:pPr>
        <w:autoSpaceDE w:val="0"/>
        <w:autoSpaceDN w:val="0"/>
        <w:adjustRightInd w:val="0"/>
        <w:spacing w:after="0" w:line="480" w:lineRule="auto"/>
        <w:jc w:val="both"/>
        <w:rPr>
          <w:rFonts w:ascii="Arial" w:hAnsi="Arial" w:cs="Arial"/>
        </w:rPr>
      </w:pPr>
    </w:p>
    <w:p w:rsidR="003252C7" w:rsidRPr="00EF437B" w:rsidRDefault="003252C7" w:rsidP="005158B5">
      <w:pPr>
        <w:autoSpaceDE w:val="0"/>
        <w:autoSpaceDN w:val="0"/>
        <w:adjustRightInd w:val="0"/>
        <w:spacing w:after="0" w:line="480" w:lineRule="auto"/>
        <w:jc w:val="both"/>
        <w:rPr>
          <w:rFonts w:ascii="Arial" w:hAnsi="Arial" w:cs="Arial"/>
        </w:rPr>
      </w:pPr>
      <w:r w:rsidRPr="00EF437B">
        <w:rPr>
          <w:rFonts w:ascii="Arial" w:hAnsi="Arial" w:cs="Arial"/>
        </w:rPr>
        <w:t xml:space="preserve">Committee on Climate Change (2010) </w:t>
      </w:r>
      <w:r w:rsidRPr="00EF437B">
        <w:rPr>
          <w:rFonts w:ascii="Arial" w:hAnsi="Arial" w:cs="Arial"/>
          <w:i/>
        </w:rPr>
        <w:t>Fourth Carbon Budget</w:t>
      </w:r>
      <w:r w:rsidRPr="00EF437B">
        <w:rPr>
          <w:rFonts w:ascii="Arial" w:hAnsi="Arial" w:cs="Arial"/>
        </w:rPr>
        <w:t>, Committee on Climate Change, http://www.theccc.org.uk/publication/the-fourth-carbon-budget-reducing-emissions-through-the-2020s-2/</w:t>
      </w:r>
    </w:p>
    <w:p w:rsidR="008969DB" w:rsidRPr="00EF437B" w:rsidRDefault="008969DB" w:rsidP="005158B5">
      <w:pPr>
        <w:autoSpaceDE w:val="0"/>
        <w:autoSpaceDN w:val="0"/>
        <w:adjustRightInd w:val="0"/>
        <w:spacing w:after="0" w:line="480" w:lineRule="auto"/>
        <w:jc w:val="both"/>
        <w:rPr>
          <w:rFonts w:ascii="Arial" w:hAnsi="Arial" w:cs="Arial"/>
        </w:rPr>
      </w:pPr>
    </w:p>
    <w:p w:rsidR="005D07E8" w:rsidRPr="00EF437B" w:rsidRDefault="004F329C" w:rsidP="005158B5">
      <w:pPr>
        <w:spacing w:line="480" w:lineRule="auto"/>
        <w:jc w:val="both"/>
        <w:rPr>
          <w:rFonts w:ascii="Arial" w:hAnsi="Arial" w:cs="Arial"/>
        </w:rPr>
      </w:pPr>
      <w:r w:rsidRPr="00EF437B">
        <w:rPr>
          <w:rFonts w:ascii="Arial" w:hAnsi="Arial" w:cs="Arial"/>
        </w:rPr>
        <w:t xml:space="preserve">Danish Energy Agency (2014) </w:t>
      </w:r>
      <w:r w:rsidRPr="00EF437B">
        <w:rPr>
          <w:rFonts w:ascii="Arial" w:hAnsi="Arial" w:cs="Arial"/>
          <w:i/>
        </w:rPr>
        <w:t>Annual Energy Statistics</w:t>
      </w:r>
      <w:r w:rsidRPr="00EF437B">
        <w:rPr>
          <w:rFonts w:ascii="Arial" w:hAnsi="Arial" w:cs="Arial"/>
        </w:rPr>
        <w:t xml:space="preserve">, </w:t>
      </w:r>
      <w:hyperlink r:id="rId13" w:history="1">
        <w:r w:rsidR="00853F18" w:rsidRPr="00EF437B">
          <w:rPr>
            <w:rStyle w:val="Hyperlink"/>
            <w:rFonts w:ascii="Arial" w:hAnsi="Arial" w:cs="Arial"/>
          </w:rPr>
          <w:t>http://www.ens.dk/info/tal-kort/statistik-nogletal/arlig-energistatistik</w:t>
        </w:r>
      </w:hyperlink>
    </w:p>
    <w:p w:rsidR="00843CB4" w:rsidRPr="00EF437B" w:rsidRDefault="00843CB4" w:rsidP="005158B5">
      <w:pPr>
        <w:spacing w:line="480" w:lineRule="auto"/>
        <w:jc w:val="both"/>
        <w:rPr>
          <w:rFonts w:ascii="Arial" w:hAnsi="Arial" w:cs="Arial"/>
        </w:rPr>
      </w:pPr>
      <w:r w:rsidRPr="00EF437B">
        <w:rPr>
          <w:rFonts w:ascii="Arial" w:hAnsi="Arial" w:cs="Arial"/>
          <w:iCs/>
        </w:rPr>
        <w:t xml:space="preserve">Davies, K. 2011. </w:t>
      </w:r>
      <w:r w:rsidRPr="00EF437B">
        <w:rPr>
          <w:rFonts w:ascii="Arial" w:hAnsi="Arial" w:cs="Arial"/>
          <w:i/>
          <w:iCs/>
        </w:rPr>
        <w:t>Response to FOI request</w:t>
      </w:r>
      <w:r w:rsidRPr="00EF437B">
        <w:rPr>
          <w:rFonts w:ascii="Arial" w:hAnsi="Arial" w:cs="Arial"/>
          <w:iCs/>
        </w:rPr>
        <w:t xml:space="preserve">, </w:t>
      </w:r>
      <w:hyperlink r:id="rId14" w:history="1">
        <w:r w:rsidRPr="00EF437B">
          <w:rPr>
            <w:rStyle w:val="Hyperlink"/>
            <w:rFonts w:ascii="Arial" w:hAnsi="Arial" w:cs="Arial"/>
            <w:iCs/>
          </w:rPr>
          <w:t>http://www.carolinelucas.com/assets/files/localparties/brighton/pdf/CCC_replies_to_Secondments_FOI(edited).pdf</w:t>
        </w:r>
      </w:hyperlink>
    </w:p>
    <w:p w:rsidR="0052545B" w:rsidRPr="00EF437B" w:rsidRDefault="0052545B" w:rsidP="005158B5">
      <w:pPr>
        <w:spacing w:line="480" w:lineRule="auto"/>
        <w:jc w:val="both"/>
        <w:rPr>
          <w:rFonts w:ascii="Arial" w:hAnsi="Arial" w:cs="Arial"/>
        </w:rPr>
      </w:pPr>
      <w:r w:rsidRPr="00EF437B">
        <w:rPr>
          <w:rFonts w:ascii="Arial" w:hAnsi="Arial" w:cs="Arial"/>
        </w:rPr>
        <w:t>DECC (2014</w:t>
      </w:r>
      <w:r w:rsidR="00791F6E" w:rsidRPr="00EF437B">
        <w:rPr>
          <w:rFonts w:ascii="Arial" w:hAnsi="Arial" w:cs="Arial"/>
        </w:rPr>
        <w:t>a</w:t>
      </w:r>
      <w:r w:rsidRPr="00EF437B">
        <w:rPr>
          <w:rFonts w:ascii="Arial" w:hAnsi="Arial" w:cs="Arial"/>
        </w:rPr>
        <w:t xml:space="preserve">) </w:t>
      </w:r>
      <w:r w:rsidRPr="00EF437B">
        <w:rPr>
          <w:rFonts w:ascii="Arial" w:hAnsi="Arial" w:cs="Arial"/>
          <w:i/>
        </w:rPr>
        <w:t xml:space="preserve">Energy Infrastructure – Recent </w:t>
      </w:r>
      <w:r w:rsidR="003F5973" w:rsidRPr="00EF437B">
        <w:rPr>
          <w:rFonts w:ascii="Arial" w:hAnsi="Arial" w:cs="Arial"/>
          <w:i/>
        </w:rPr>
        <w:t>D</w:t>
      </w:r>
      <w:r w:rsidRPr="00EF437B">
        <w:rPr>
          <w:rFonts w:ascii="Arial" w:hAnsi="Arial" w:cs="Arial"/>
          <w:i/>
        </w:rPr>
        <w:t>ecisions</w:t>
      </w:r>
      <w:r w:rsidR="003F5973" w:rsidRPr="00EF437B">
        <w:rPr>
          <w:rFonts w:ascii="Arial" w:hAnsi="Arial" w:cs="Arial"/>
          <w:i/>
        </w:rPr>
        <w:t xml:space="preserve"> on Applications</w:t>
      </w:r>
      <w:r w:rsidRPr="00EF437B">
        <w:rPr>
          <w:rFonts w:ascii="Arial" w:hAnsi="Arial" w:cs="Arial"/>
        </w:rPr>
        <w:t xml:space="preserve">, </w:t>
      </w:r>
      <w:hyperlink r:id="rId15" w:history="1">
        <w:r w:rsidR="00791F6E" w:rsidRPr="00EF437B">
          <w:rPr>
            <w:rStyle w:val="Hyperlink"/>
            <w:rFonts w:ascii="Arial" w:hAnsi="Arial" w:cs="Arial"/>
          </w:rPr>
          <w:t>https://www.og.decc.gov.uk/EIP/pages/recent.htm</w:t>
        </w:r>
      </w:hyperlink>
    </w:p>
    <w:p w:rsidR="00791F6E" w:rsidRPr="00EF437B" w:rsidRDefault="00791F6E" w:rsidP="005158B5">
      <w:pPr>
        <w:spacing w:line="480" w:lineRule="auto"/>
        <w:jc w:val="both"/>
        <w:rPr>
          <w:rFonts w:ascii="Arial" w:hAnsi="Arial" w:cs="Arial"/>
          <w:iCs/>
        </w:rPr>
      </w:pPr>
      <w:r w:rsidRPr="00EF437B">
        <w:rPr>
          <w:rFonts w:ascii="Arial" w:hAnsi="Arial" w:cs="Arial"/>
        </w:rPr>
        <w:t xml:space="preserve">DECC (2014b) Community Energy Strategy, London: DECC, </w:t>
      </w:r>
      <w:hyperlink r:id="rId16" w:history="1">
        <w:r w:rsidR="00186174" w:rsidRPr="00EF437B">
          <w:rPr>
            <w:rStyle w:val="Hyperlink"/>
            <w:rFonts w:ascii="Arial" w:hAnsi="Arial" w:cs="Arial"/>
          </w:rPr>
          <w:t>https://www.gov.uk/government/publications/community-energy-strategy</w:t>
        </w:r>
      </w:hyperlink>
      <w:r w:rsidR="00186174" w:rsidRPr="00EF437B">
        <w:rPr>
          <w:rFonts w:ascii="Arial" w:hAnsi="Arial" w:cs="Arial"/>
        </w:rPr>
        <w:t xml:space="preserve">, </w:t>
      </w:r>
    </w:p>
    <w:p w:rsidR="00853F18" w:rsidRPr="00EF437B" w:rsidRDefault="00853F18" w:rsidP="005158B5">
      <w:pPr>
        <w:autoSpaceDE w:val="0"/>
        <w:autoSpaceDN w:val="0"/>
        <w:adjustRightInd w:val="0"/>
        <w:spacing w:after="0" w:line="480" w:lineRule="auto"/>
        <w:jc w:val="both"/>
        <w:rPr>
          <w:rFonts w:ascii="Arial" w:hAnsi="Arial" w:cs="Arial"/>
        </w:rPr>
      </w:pPr>
      <w:r w:rsidRPr="00EF437B">
        <w:rPr>
          <w:rFonts w:ascii="Arial" w:hAnsi="Arial" w:cs="Arial"/>
          <w:color w:val="000000"/>
          <w:lang w:eastAsia="en-GB"/>
        </w:rPr>
        <w:t xml:space="preserve">Department of Energy and Climate Change (DECC). 2010. </w:t>
      </w:r>
      <w:r w:rsidRPr="00EF437B">
        <w:rPr>
          <w:rFonts w:ascii="Arial" w:hAnsi="Arial" w:cs="Arial"/>
          <w:i/>
          <w:color w:val="000000"/>
          <w:lang w:eastAsia="en-GB"/>
        </w:rPr>
        <w:t>Electricity Market Reform Consultation Document</w:t>
      </w:r>
      <w:r w:rsidRPr="00EF437B">
        <w:rPr>
          <w:rFonts w:ascii="Arial" w:hAnsi="Arial" w:cs="Arial"/>
          <w:color w:val="000000"/>
          <w:lang w:eastAsia="en-GB"/>
        </w:rPr>
        <w:t xml:space="preserve">, </w:t>
      </w:r>
      <w:hyperlink r:id="rId17" w:history="1">
        <w:r w:rsidRPr="00EF437B">
          <w:rPr>
            <w:rStyle w:val="Hyperlink"/>
            <w:rFonts w:ascii="Arial" w:hAnsi="Arial" w:cs="Arial"/>
            <w:lang w:eastAsia="en-GB"/>
          </w:rPr>
          <w:t>https://www.gov.uk/government/uploads/system/uploads/attachment_data/file/42636/1041-electricity-market-reform-condoc.pdf</w:t>
        </w:r>
      </w:hyperlink>
    </w:p>
    <w:p w:rsidR="001C6239" w:rsidRPr="00EF437B" w:rsidRDefault="001C6239" w:rsidP="005158B5">
      <w:pPr>
        <w:autoSpaceDE w:val="0"/>
        <w:autoSpaceDN w:val="0"/>
        <w:adjustRightInd w:val="0"/>
        <w:spacing w:after="0" w:line="480" w:lineRule="auto"/>
        <w:jc w:val="both"/>
        <w:rPr>
          <w:rFonts w:ascii="Arial" w:hAnsi="Arial" w:cs="Arial"/>
          <w:color w:val="000000"/>
          <w:lang w:eastAsia="en-GB"/>
        </w:rPr>
      </w:pPr>
    </w:p>
    <w:p w:rsidR="00853F18" w:rsidRPr="00EF437B" w:rsidRDefault="00853F18" w:rsidP="005158B5">
      <w:pPr>
        <w:autoSpaceDE w:val="0"/>
        <w:autoSpaceDN w:val="0"/>
        <w:adjustRightInd w:val="0"/>
        <w:spacing w:after="0" w:line="480" w:lineRule="auto"/>
        <w:jc w:val="both"/>
        <w:rPr>
          <w:rFonts w:ascii="Arial" w:hAnsi="Arial" w:cs="Arial"/>
          <w:i/>
          <w:color w:val="000000"/>
          <w:lang w:eastAsia="en-GB"/>
        </w:rPr>
      </w:pPr>
      <w:r w:rsidRPr="00EF437B">
        <w:rPr>
          <w:rFonts w:ascii="Arial" w:hAnsi="Arial" w:cs="Arial"/>
          <w:color w:val="000000"/>
          <w:lang w:eastAsia="en-GB"/>
        </w:rPr>
        <w:t xml:space="preserve">Department of Energy and Climate Change (DECC). </w:t>
      </w:r>
      <w:r w:rsidR="004273A5" w:rsidRPr="00EF437B">
        <w:rPr>
          <w:rFonts w:ascii="Arial" w:hAnsi="Arial" w:cs="Arial"/>
          <w:color w:val="000000"/>
          <w:lang w:eastAsia="en-GB"/>
        </w:rPr>
        <w:t>(</w:t>
      </w:r>
      <w:r w:rsidRPr="00EF437B">
        <w:rPr>
          <w:rFonts w:ascii="Arial" w:hAnsi="Arial" w:cs="Arial"/>
          <w:color w:val="000000"/>
          <w:lang w:eastAsia="en-GB"/>
        </w:rPr>
        <w:t>2011</w:t>
      </w:r>
      <w:r w:rsidR="004273A5" w:rsidRPr="00EF437B">
        <w:rPr>
          <w:rFonts w:ascii="Arial" w:hAnsi="Arial" w:cs="Arial"/>
          <w:color w:val="000000"/>
          <w:lang w:eastAsia="en-GB"/>
        </w:rPr>
        <w:t>)</w:t>
      </w:r>
      <w:r w:rsidRPr="00EF437B">
        <w:rPr>
          <w:rFonts w:ascii="Arial" w:hAnsi="Arial" w:cs="Arial"/>
          <w:color w:val="000000"/>
          <w:lang w:eastAsia="en-GB"/>
        </w:rPr>
        <w:t xml:space="preserve"> </w:t>
      </w:r>
      <w:r w:rsidRPr="00EF437B">
        <w:rPr>
          <w:rFonts w:ascii="Arial" w:hAnsi="Arial" w:cs="Arial"/>
          <w:i/>
          <w:color w:val="000000"/>
          <w:lang w:eastAsia="en-GB"/>
        </w:rPr>
        <w:t>Planning our electric future:</w:t>
      </w:r>
    </w:p>
    <w:p w:rsidR="00853F18" w:rsidRPr="00EF437B" w:rsidRDefault="00853F18" w:rsidP="005158B5">
      <w:pPr>
        <w:autoSpaceDE w:val="0"/>
        <w:autoSpaceDN w:val="0"/>
        <w:adjustRightInd w:val="0"/>
        <w:spacing w:after="0" w:line="480" w:lineRule="auto"/>
        <w:jc w:val="both"/>
        <w:rPr>
          <w:rFonts w:ascii="Arial" w:hAnsi="Arial" w:cs="Arial"/>
          <w:lang w:eastAsia="en-GB"/>
        </w:rPr>
      </w:pPr>
      <w:r w:rsidRPr="00EF437B">
        <w:rPr>
          <w:rFonts w:ascii="Arial" w:hAnsi="Arial" w:cs="Arial"/>
          <w:i/>
          <w:lang w:eastAsia="en-GB"/>
        </w:rPr>
        <w:t>A white paper for secure, affordable and low carbon electricity</w:t>
      </w:r>
      <w:r w:rsidRPr="00EF437B">
        <w:rPr>
          <w:rFonts w:ascii="Arial" w:hAnsi="Arial" w:cs="Arial"/>
          <w:lang w:eastAsia="en-GB"/>
        </w:rPr>
        <w:t>. London: TSO, http://www.decc.gov.uk/en/content/cms/legislation/white_papers/</w:t>
      </w:r>
    </w:p>
    <w:p w:rsidR="00853F18" w:rsidRPr="00EF437B" w:rsidRDefault="00853F18" w:rsidP="005158B5">
      <w:pPr>
        <w:spacing w:line="480" w:lineRule="auto"/>
        <w:jc w:val="both"/>
        <w:rPr>
          <w:rFonts w:ascii="Arial" w:hAnsi="Arial" w:cs="Arial"/>
          <w:lang w:eastAsia="en-GB"/>
        </w:rPr>
      </w:pPr>
      <w:r w:rsidRPr="00EF437B">
        <w:rPr>
          <w:rFonts w:ascii="Arial" w:hAnsi="Arial" w:cs="Arial"/>
          <w:lang w:eastAsia="en-GB"/>
        </w:rPr>
        <w:t>emr_wp_2011/emr_wp_2011.aspx</w:t>
      </w:r>
    </w:p>
    <w:p w:rsidR="00763B33" w:rsidRPr="00EF437B" w:rsidRDefault="00763B33" w:rsidP="005158B5">
      <w:pPr>
        <w:spacing w:line="480" w:lineRule="auto"/>
        <w:jc w:val="both"/>
        <w:rPr>
          <w:rFonts w:ascii="Arial" w:hAnsi="Arial" w:cs="Arial"/>
        </w:rPr>
      </w:pPr>
      <w:r w:rsidRPr="00EF437B">
        <w:rPr>
          <w:rFonts w:ascii="Arial" w:hAnsi="Arial" w:cs="Arial"/>
          <w:color w:val="000000"/>
          <w:lang w:eastAsia="en-GB"/>
        </w:rPr>
        <w:t xml:space="preserve">Department of Energy and Climate Change (DECC) (2014) </w:t>
      </w:r>
      <w:r w:rsidR="00FF61FC" w:rsidRPr="00EF437B">
        <w:rPr>
          <w:rFonts w:ascii="Arial" w:hAnsi="Arial" w:cs="Arial"/>
          <w:i/>
          <w:color w:val="000000"/>
          <w:lang w:eastAsia="en-GB"/>
        </w:rPr>
        <w:t>Electricity Market Reform consultation submissions</w:t>
      </w:r>
      <w:r w:rsidRPr="00EF437B">
        <w:rPr>
          <w:rFonts w:ascii="Arial" w:hAnsi="Arial" w:cs="Arial"/>
          <w:color w:val="000000"/>
          <w:lang w:eastAsia="en-GB"/>
        </w:rPr>
        <w:t xml:space="preserve"> </w:t>
      </w:r>
      <w:hyperlink r:id="rId18" w:history="1">
        <w:r w:rsidR="004F5578" w:rsidRPr="00EF437B">
          <w:rPr>
            <w:rStyle w:val="Hyperlink"/>
            <w:rFonts w:ascii="Arial" w:hAnsi="Arial" w:cs="Arial"/>
          </w:rPr>
          <w:t>https://www.gov.uk/government/consultations/electricity-market-reform</w:t>
        </w:r>
      </w:hyperlink>
    </w:p>
    <w:p w:rsidR="004F5578" w:rsidRPr="00EF437B" w:rsidRDefault="004F5578" w:rsidP="005158B5">
      <w:pPr>
        <w:autoSpaceDE w:val="0"/>
        <w:autoSpaceDN w:val="0"/>
        <w:adjustRightInd w:val="0"/>
        <w:spacing w:after="0" w:line="480" w:lineRule="auto"/>
        <w:jc w:val="both"/>
        <w:rPr>
          <w:rFonts w:ascii="Arial" w:hAnsi="Arial" w:cs="Arial"/>
          <w:lang w:val="da-DK"/>
        </w:rPr>
      </w:pPr>
      <w:r w:rsidRPr="00EF437B">
        <w:rPr>
          <w:rFonts w:ascii="Arial" w:hAnsi="Arial" w:cs="Arial"/>
          <w:lang w:val="da-DK"/>
        </w:rPr>
        <w:t xml:space="preserve">Energiaftalen 22. marts </w:t>
      </w:r>
      <w:r w:rsidR="004273A5" w:rsidRPr="00EF437B">
        <w:rPr>
          <w:rFonts w:ascii="Arial" w:hAnsi="Arial" w:cs="Arial"/>
          <w:lang w:val="da-DK"/>
        </w:rPr>
        <w:t>(</w:t>
      </w:r>
      <w:r w:rsidRPr="00EF437B">
        <w:rPr>
          <w:rFonts w:ascii="Arial" w:hAnsi="Arial" w:cs="Arial"/>
          <w:lang w:val="da-DK"/>
        </w:rPr>
        <w:t>2012</w:t>
      </w:r>
      <w:r w:rsidR="004273A5" w:rsidRPr="00EF437B">
        <w:rPr>
          <w:rFonts w:ascii="Arial" w:hAnsi="Arial" w:cs="Arial"/>
          <w:lang w:val="da-DK"/>
        </w:rPr>
        <w:t>)</w:t>
      </w:r>
      <w:r w:rsidRPr="00EF437B">
        <w:rPr>
          <w:rFonts w:ascii="Arial" w:hAnsi="Arial" w:cs="Arial"/>
          <w:lang w:val="da-DK"/>
        </w:rPr>
        <w:t xml:space="preserve"> www.ens.dk </w:t>
      </w:r>
      <w:hyperlink r:id="rId19" w:history="1">
        <w:r w:rsidRPr="00EF437B">
          <w:rPr>
            <w:rStyle w:val="Hyperlink"/>
            <w:rFonts w:ascii="Arial" w:hAnsi="Arial" w:cs="Arial"/>
            <w:lang w:val="da-DK"/>
          </w:rPr>
          <w:t>http://www.ens.dk/politik/dansk-klima-energipolitik/politiske-aftaler-pa-energiomradet/energiaftalen-22-marts-2012</w:t>
        </w:r>
      </w:hyperlink>
    </w:p>
    <w:p w:rsidR="004F5578" w:rsidRPr="00EF437B" w:rsidRDefault="004F5578" w:rsidP="005158B5">
      <w:pPr>
        <w:spacing w:line="480" w:lineRule="auto"/>
        <w:jc w:val="both"/>
        <w:rPr>
          <w:rFonts w:ascii="Arial" w:hAnsi="Arial" w:cs="Arial"/>
        </w:rPr>
      </w:pPr>
    </w:p>
    <w:p w:rsidR="00CB252A" w:rsidRPr="00EF437B" w:rsidRDefault="00CB252A" w:rsidP="005158B5">
      <w:pPr>
        <w:spacing w:line="480" w:lineRule="auto"/>
        <w:jc w:val="both"/>
        <w:rPr>
          <w:rFonts w:ascii="Arial" w:hAnsi="Arial" w:cs="Arial"/>
        </w:rPr>
      </w:pPr>
      <w:r w:rsidRPr="00EF437B">
        <w:rPr>
          <w:rFonts w:ascii="Arial" w:hAnsi="Arial" w:cs="Arial"/>
        </w:rPr>
        <w:t xml:space="preserve">Energy and Climate Change Select Committee. </w:t>
      </w:r>
      <w:r w:rsidR="004273A5" w:rsidRPr="00EF437B">
        <w:rPr>
          <w:rFonts w:ascii="Arial" w:hAnsi="Arial" w:cs="Arial"/>
        </w:rPr>
        <w:t>(</w:t>
      </w:r>
      <w:r w:rsidRPr="00EF437B">
        <w:rPr>
          <w:rFonts w:ascii="Arial" w:hAnsi="Arial" w:cs="Arial"/>
        </w:rPr>
        <w:t>2011</w:t>
      </w:r>
      <w:r w:rsidR="004273A5" w:rsidRPr="00EF437B">
        <w:rPr>
          <w:rFonts w:ascii="Arial" w:hAnsi="Arial" w:cs="Arial"/>
        </w:rPr>
        <w:t>)</w:t>
      </w:r>
      <w:r w:rsidRPr="00EF437B">
        <w:rPr>
          <w:rFonts w:ascii="Arial" w:hAnsi="Arial" w:cs="Arial"/>
        </w:rPr>
        <w:t xml:space="preserve"> </w:t>
      </w:r>
      <w:r w:rsidRPr="00EF437B">
        <w:rPr>
          <w:rFonts w:ascii="Arial" w:hAnsi="Arial" w:cs="Arial"/>
          <w:bCs/>
          <w:i/>
          <w:lang w:eastAsia="en-GB"/>
        </w:rPr>
        <w:t>Electricity Market Reform, Fourth Report of Session 2010-12</w:t>
      </w:r>
      <w:r w:rsidRPr="00EF437B">
        <w:rPr>
          <w:rFonts w:ascii="Arial" w:hAnsi="Arial" w:cs="Arial"/>
          <w:bCs/>
          <w:lang w:eastAsia="en-GB"/>
        </w:rPr>
        <w:t>, Vol 1. London: House of Commons.</w:t>
      </w:r>
    </w:p>
    <w:p w:rsidR="00CB252A" w:rsidRPr="00EF437B" w:rsidRDefault="00CB252A" w:rsidP="005158B5">
      <w:pPr>
        <w:spacing w:line="480" w:lineRule="auto"/>
        <w:jc w:val="both"/>
        <w:rPr>
          <w:rFonts w:ascii="Arial" w:hAnsi="Arial" w:cs="Arial"/>
        </w:rPr>
      </w:pPr>
      <w:r w:rsidRPr="00EF437B">
        <w:rPr>
          <w:rFonts w:ascii="Arial" w:hAnsi="Arial" w:cs="Arial"/>
        </w:rPr>
        <w:t xml:space="preserve">Energy and Climate Change Select Committee. </w:t>
      </w:r>
      <w:r w:rsidR="004273A5" w:rsidRPr="00EF437B">
        <w:rPr>
          <w:rFonts w:ascii="Arial" w:hAnsi="Arial" w:cs="Arial"/>
        </w:rPr>
        <w:t>(</w:t>
      </w:r>
      <w:r w:rsidRPr="00EF437B">
        <w:rPr>
          <w:rFonts w:ascii="Arial" w:hAnsi="Arial" w:cs="Arial"/>
        </w:rPr>
        <w:t>2012</w:t>
      </w:r>
      <w:r w:rsidR="004273A5" w:rsidRPr="00EF437B">
        <w:rPr>
          <w:rFonts w:ascii="Arial" w:hAnsi="Arial" w:cs="Arial"/>
        </w:rPr>
        <w:t>)</w:t>
      </w:r>
      <w:r w:rsidRPr="00EF437B">
        <w:rPr>
          <w:rFonts w:ascii="Arial" w:hAnsi="Arial" w:cs="Arial"/>
        </w:rPr>
        <w:t xml:space="preserve"> </w:t>
      </w:r>
      <w:r w:rsidRPr="00EF437B">
        <w:rPr>
          <w:rFonts w:ascii="Arial" w:hAnsi="Arial" w:cs="Arial"/>
          <w:i/>
        </w:rPr>
        <w:t>Draft Energy Bill – Pre- Legislative Scrutiny</w:t>
      </w:r>
      <w:r w:rsidRPr="00EF437B">
        <w:rPr>
          <w:rFonts w:ascii="Arial" w:hAnsi="Arial" w:cs="Arial"/>
        </w:rPr>
        <w:t>, http://www.publications.parliament.uk/pa/cm201213/cmselect/cmenergy/275/275.pdf</w:t>
      </w:r>
    </w:p>
    <w:p w:rsidR="00CB252A" w:rsidRPr="00EF437B" w:rsidRDefault="00CB252A" w:rsidP="005158B5">
      <w:pPr>
        <w:spacing w:line="480" w:lineRule="auto"/>
        <w:jc w:val="both"/>
        <w:rPr>
          <w:rFonts w:ascii="Arial" w:hAnsi="Arial" w:cs="Arial"/>
        </w:rPr>
      </w:pPr>
      <w:r w:rsidRPr="00EF437B">
        <w:rPr>
          <w:rFonts w:ascii="Arial" w:hAnsi="Arial" w:cs="Arial"/>
        </w:rPr>
        <w:t xml:space="preserve">Energy and Climate Change Select Committee. </w:t>
      </w:r>
      <w:r w:rsidR="004273A5" w:rsidRPr="00EF437B">
        <w:rPr>
          <w:rFonts w:ascii="Arial" w:hAnsi="Arial" w:cs="Arial"/>
        </w:rPr>
        <w:t>(</w:t>
      </w:r>
      <w:r w:rsidRPr="00EF437B">
        <w:rPr>
          <w:rFonts w:ascii="Arial" w:hAnsi="Arial" w:cs="Arial"/>
        </w:rPr>
        <w:t>2013</w:t>
      </w:r>
      <w:r w:rsidR="004273A5" w:rsidRPr="00EF437B">
        <w:rPr>
          <w:rFonts w:ascii="Arial" w:hAnsi="Arial" w:cs="Arial"/>
        </w:rPr>
        <w:t>)</w:t>
      </w:r>
      <w:r w:rsidRPr="00EF437B">
        <w:rPr>
          <w:rFonts w:ascii="Arial" w:hAnsi="Arial" w:cs="Arial"/>
        </w:rPr>
        <w:t xml:space="preserve"> Building New Nuclear: the challenges ahead, February 2013, </w:t>
      </w:r>
      <w:hyperlink r:id="rId20" w:history="1">
        <w:r w:rsidRPr="00EF437B">
          <w:rPr>
            <w:rStyle w:val="Hyperlink"/>
            <w:rFonts w:ascii="Arial" w:hAnsi="Arial" w:cs="Arial"/>
          </w:rPr>
          <w:t>http://www.publications.parliament.uk/pa/cm201213/cmselect/cmenergy/117/117.pdf</w:t>
        </w:r>
      </w:hyperlink>
    </w:p>
    <w:p w:rsidR="00B35139" w:rsidRPr="00EF437B" w:rsidRDefault="00B35139" w:rsidP="005158B5">
      <w:pPr>
        <w:spacing w:line="480" w:lineRule="auto"/>
        <w:jc w:val="both"/>
        <w:rPr>
          <w:rFonts w:ascii="Arial" w:hAnsi="Arial" w:cs="Arial"/>
        </w:rPr>
      </w:pPr>
    </w:p>
    <w:p w:rsidR="00763676" w:rsidRPr="00EF437B" w:rsidRDefault="00CC41A8" w:rsidP="005158B5">
      <w:pPr>
        <w:autoSpaceDE w:val="0"/>
        <w:autoSpaceDN w:val="0"/>
        <w:adjustRightInd w:val="0"/>
        <w:spacing w:after="0" w:line="480" w:lineRule="auto"/>
        <w:jc w:val="both"/>
        <w:rPr>
          <w:rFonts w:ascii="Arial" w:hAnsi="Arial" w:cs="Arial"/>
          <w:lang w:val="en-US"/>
        </w:rPr>
      </w:pPr>
      <w:r w:rsidRPr="00EF437B">
        <w:rPr>
          <w:rFonts w:ascii="Arial" w:hAnsi="Arial" w:cs="Arial"/>
          <w:lang w:val="da-DK"/>
        </w:rPr>
        <w:t xml:space="preserve">Energistyrelsen (2011) </w:t>
      </w:r>
      <w:r w:rsidR="00444826" w:rsidRPr="00EF437B">
        <w:rPr>
          <w:rFonts w:ascii="Arial" w:hAnsi="Arial" w:cs="Arial"/>
          <w:lang w:val="da-DK"/>
        </w:rPr>
        <w:t>NOTATEvaluering af køberetsordningenii lov om fremme af vedvarende energi.</w:t>
      </w:r>
      <w:r w:rsidR="00444826" w:rsidRPr="00EF437B">
        <w:rPr>
          <w:rFonts w:ascii="Arial" w:hAnsi="Arial" w:cs="Arial"/>
          <w:bCs/>
          <w:color w:val="010101"/>
          <w:lang w:val="da-DK"/>
        </w:rPr>
        <w:t xml:space="preserve">KEB alm. del Bilag 68Offentligt. </w:t>
      </w:r>
      <w:r w:rsidR="00444826" w:rsidRPr="00EF437B">
        <w:rPr>
          <w:rFonts w:ascii="Arial" w:hAnsi="Arial" w:cs="Arial"/>
          <w:bCs/>
          <w:color w:val="010101"/>
          <w:lang w:val="en-US"/>
        </w:rPr>
        <w:t>28. oktober 2011</w:t>
      </w:r>
      <w:r w:rsidR="0021498E" w:rsidRPr="00EF437B">
        <w:rPr>
          <w:rFonts w:ascii="Arial" w:hAnsi="Arial" w:cs="Arial"/>
          <w:bCs/>
          <w:color w:val="010101"/>
          <w:lang w:val="en-US"/>
        </w:rPr>
        <w:t xml:space="preserve">, </w:t>
      </w:r>
      <w:r w:rsidR="00444826" w:rsidRPr="00EF437B">
        <w:rPr>
          <w:rFonts w:ascii="Arial" w:hAnsi="Arial" w:cs="Arial"/>
          <w:bCs/>
          <w:color w:val="010101"/>
          <w:lang w:val="en-US"/>
        </w:rPr>
        <w:t xml:space="preserve"> http://www.ens.dk/sites/ens.dk/files/undergrund-forsyning/vedvarende-energi/vindkraft-vindmoeller/vindmoeller-paa-land/notat_evaluering_af_koeberetsordningen_i_ve-loven.pdf</w:t>
      </w:r>
    </w:p>
    <w:p w:rsidR="00763676" w:rsidRPr="00EF437B" w:rsidRDefault="00763676" w:rsidP="005158B5">
      <w:pPr>
        <w:autoSpaceDE w:val="0"/>
        <w:autoSpaceDN w:val="0"/>
        <w:adjustRightInd w:val="0"/>
        <w:spacing w:after="0" w:line="480" w:lineRule="auto"/>
        <w:jc w:val="both"/>
        <w:rPr>
          <w:rFonts w:ascii="Arial" w:hAnsi="Arial" w:cs="Arial"/>
          <w:lang w:val="en-US"/>
        </w:rPr>
      </w:pPr>
    </w:p>
    <w:p w:rsidR="00853F18" w:rsidRPr="00EF437B" w:rsidRDefault="00444826" w:rsidP="005158B5">
      <w:pPr>
        <w:spacing w:line="480" w:lineRule="auto"/>
        <w:jc w:val="both"/>
        <w:rPr>
          <w:rFonts w:ascii="Arial" w:hAnsi="Arial" w:cs="Arial"/>
          <w:lang w:val="en-US"/>
        </w:rPr>
      </w:pPr>
      <w:r w:rsidRPr="00EF437B">
        <w:rPr>
          <w:rFonts w:ascii="Arial" w:hAnsi="Arial" w:cs="Arial"/>
          <w:lang w:val="da-DK"/>
        </w:rPr>
        <w:t xml:space="preserve">Energistyrelsen (2012) Høringsnotat. Klima-, energy- </w:t>
      </w:r>
      <w:r w:rsidR="00FD3EE8" w:rsidRPr="00EF437B">
        <w:rPr>
          <w:rFonts w:ascii="Arial" w:hAnsi="Arial" w:cs="Arial"/>
          <w:lang w:val="da-DK"/>
        </w:rPr>
        <w:t>o</w:t>
      </w:r>
      <w:r w:rsidRPr="00EF437B">
        <w:rPr>
          <w:rFonts w:ascii="Arial" w:hAnsi="Arial" w:cs="Arial"/>
          <w:lang w:val="da-DK"/>
        </w:rPr>
        <w:t xml:space="preserve">g bygningsudvalget 2011-2012, L182, bilag 1. </w:t>
      </w:r>
      <w:r w:rsidRPr="00EF437B">
        <w:rPr>
          <w:rFonts w:ascii="Arial" w:hAnsi="Arial" w:cs="Arial"/>
          <w:lang w:val="en-US"/>
        </w:rPr>
        <w:t>In English: Memo on public consultation. The climate, energy and building committee</w:t>
      </w:r>
      <w:r w:rsidR="00FD3EE8" w:rsidRPr="00EF437B">
        <w:rPr>
          <w:rFonts w:ascii="Arial" w:hAnsi="Arial" w:cs="Arial"/>
          <w:lang w:val="en-US"/>
        </w:rPr>
        <w:t>, proposal 182, session 2011-12.</w:t>
      </w:r>
    </w:p>
    <w:p w:rsidR="00B6150E" w:rsidRPr="00EF437B" w:rsidRDefault="00B6150E" w:rsidP="005158B5">
      <w:pPr>
        <w:spacing w:line="480" w:lineRule="auto"/>
        <w:jc w:val="both"/>
        <w:rPr>
          <w:rFonts w:ascii="Arial" w:hAnsi="Arial" w:cs="Arial"/>
          <w:lang w:val="en-US"/>
        </w:rPr>
      </w:pPr>
    </w:p>
    <w:p w:rsidR="00B6150E" w:rsidRPr="00EF437B" w:rsidRDefault="00FA0A41" w:rsidP="005158B5">
      <w:pPr>
        <w:spacing w:line="480" w:lineRule="auto"/>
        <w:jc w:val="both"/>
        <w:rPr>
          <w:rFonts w:ascii="Arial" w:hAnsi="Arial" w:cs="Arial"/>
          <w:iCs/>
        </w:rPr>
      </w:pPr>
      <w:hyperlink r:id="rId21" w:history="1">
        <w:r w:rsidR="00B6150E" w:rsidRPr="00EF437B">
          <w:rPr>
            <w:rFonts w:ascii="Arial" w:hAnsi="Arial" w:cs="Arial"/>
          </w:rPr>
          <w:t>Energistyrelsen</w:t>
        </w:r>
      </w:hyperlink>
      <w:r w:rsidR="00B6150E" w:rsidRPr="00EF437B">
        <w:rPr>
          <w:rFonts w:ascii="Arial" w:hAnsi="Arial" w:cs="Arial"/>
          <w:iCs/>
        </w:rPr>
        <w:t xml:space="preserve"> (2013), </w:t>
      </w:r>
      <w:r w:rsidR="00B6150E" w:rsidRPr="00EF437B">
        <w:rPr>
          <w:rFonts w:ascii="Arial" w:hAnsi="Arial" w:cs="Arial"/>
          <w:i/>
          <w:iCs/>
        </w:rPr>
        <w:t xml:space="preserve">Initiativertilfremmeafvindkraft, </w:t>
      </w:r>
      <w:hyperlink r:id="rId22" w:history="1">
        <w:r w:rsidR="00B6150E" w:rsidRPr="00EF437B">
          <w:rPr>
            <w:rStyle w:val="Hyperlink"/>
            <w:rFonts w:ascii="Arial" w:hAnsi="Arial" w:cs="Arial"/>
            <w:iCs/>
            <w:color w:val="auto"/>
          </w:rPr>
          <w:t>http://www.ens.dk/sites/ens.dk/files/politik/dansk-klima-energipolitik/politiske-aftaler-paa-energiomraadet/energiaftalen-22-marts-2012/Vind%20PPT.pdf</w:t>
        </w:r>
      </w:hyperlink>
    </w:p>
    <w:p w:rsidR="00B6150E" w:rsidRPr="00EF437B" w:rsidRDefault="00B6150E" w:rsidP="005158B5">
      <w:pPr>
        <w:spacing w:line="480" w:lineRule="auto"/>
        <w:jc w:val="both"/>
        <w:rPr>
          <w:rFonts w:ascii="Arial" w:hAnsi="Arial" w:cs="Arial"/>
          <w:lang w:val="en-US"/>
        </w:rPr>
      </w:pPr>
    </w:p>
    <w:p w:rsidR="0035583D" w:rsidRPr="00EF437B" w:rsidRDefault="00C17F88" w:rsidP="005158B5">
      <w:pPr>
        <w:spacing w:line="480" w:lineRule="auto"/>
        <w:jc w:val="both"/>
        <w:rPr>
          <w:rFonts w:ascii="Arial" w:hAnsi="Arial" w:cs="Arial"/>
          <w:lang w:val="en-US"/>
        </w:rPr>
      </w:pPr>
      <w:r w:rsidRPr="00EF437B">
        <w:rPr>
          <w:rFonts w:ascii="Arial" w:hAnsi="Arial" w:cs="Arial"/>
          <w:lang w:val="en-US"/>
        </w:rPr>
        <w:t>Energistyrelsen.</w:t>
      </w:r>
      <w:r w:rsidR="00AB081B" w:rsidRPr="00EF437B">
        <w:rPr>
          <w:rFonts w:ascii="Arial" w:hAnsi="Arial" w:cs="Arial"/>
          <w:lang w:val="en-US"/>
        </w:rPr>
        <w:t xml:space="preserve"> (2014)</w:t>
      </w:r>
      <w:r w:rsidR="004273A5" w:rsidRPr="00EF437B">
        <w:rPr>
          <w:rFonts w:ascii="Arial" w:hAnsi="Arial" w:cs="Arial"/>
          <w:lang w:val="en-US"/>
        </w:rPr>
        <w:t xml:space="preserve"> </w:t>
      </w:r>
      <w:hyperlink r:id="rId23" w:history="1">
        <w:r w:rsidRPr="00EF437B">
          <w:rPr>
            <w:rStyle w:val="Hyperlink"/>
            <w:rFonts w:ascii="Arial" w:hAnsi="Arial" w:cs="Arial"/>
            <w:color w:val="auto"/>
            <w:lang w:val="en-US"/>
          </w:rPr>
          <w:t>http://www.ens.dk/politik/dansk-klima-energipolitik/politiske-aftaler-pa-energiomradet</w:t>
        </w:r>
      </w:hyperlink>
      <w:r w:rsidRPr="00EF437B">
        <w:rPr>
          <w:rFonts w:ascii="Arial" w:hAnsi="Arial" w:cs="Arial"/>
          <w:lang w:val="en-US"/>
        </w:rPr>
        <w:t xml:space="preserve"> Accessed 25</w:t>
      </w:r>
      <w:r w:rsidRPr="00EF437B">
        <w:rPr>
          <w:rFonts w:ascii="Arial" w:hAnsi="Arial" w:cs="Arial"/>
          <w:vertAlign w:val="superscript"/>
          <w:lang w:val="en-US"/>
        </w:rPr>
        <w:t>th</w:t>
      </w:r>
      <w:r w:rsidRPr="00EF437B">
        <w:rPr>
          <w:rFonts w:ascii="Arial" w:hAnsi="Arial" w:cs="Arial"/>
          <w:lang w:val="en-US"/>
        </w:rPr>
        <w:t xml:space="preserve"> August 2014. </w:t>
      </w:r>
    </w:p>
    <w:p w:rsidR="008969DB" w:rsidRPr="00EF437B" w:rsidRDefault="00444826" w:rsidP="005158B5">
      <w:pPr>
        <w:spacing w:line="480" w:lineRule="auto"/>
        <w:jc w:val="both"/>
        <w:rPr>
          <w:rFonts w:ascii="Arial" w:hAnsi="Arial" w:cs="Arial"/>
          <w:lang w:val="en-US"/>
        </w:rPr>
      </w:pPr>
      <w:r w:rsidRPr="00EF437B">
        <w:rPr>
          <w:rFonts w:ascii="Arial" w:hAnsi="Arial" w:cs="Arial"/>
          <w:lang w:val="en-US"/>
        </w:rPr>
        <w:t xml:space="preserve">Folketinget </w:t>
      </w:r>
      <w:r w:rsidR="004273A5" w:rsidRPr="00EF437B">
        <w:rPr>
          <w:rFonts w:ascii="Arial" w:hAnsi="Arial" w:cs="Arial"/>
          <w:lang w:val="en-US"/>
        </w:rPr>
        <w:t>(</w:t>
      </w:r>
      <w:r w:rsidRPr="00EF437B">
        <w:rPr>
          <w:rFonts w:ascii="Arial" w:hAnsi="Arial" w:cs="Arial"/>
          <w:lang w:val="en-US"/>
        </w:rPr>
        <w:t>2012</w:t>
      </w:r>
      <w:r w:rsidR="004273A5" w:rsidRPr="00EF437B">
        <w:rPr>
          <w:rFonts w:ascii="Arial" w:hAnsi="Arial" w:cs="Arial"/>
          <w:lang w:val="en-US"/>
        </w:rPr>
        <w:t xml:space="preserve">) </w:t>
      </w:r>
      <w:r w:rsidRPr="00EF437B">
        <w:rPr>
          <w:rFonts w:ascii="Arial" w:hAnsi="Arial" w:cs="Arial"/>
          <w:lang w:val="en-US"/>
        </w:rPr>
        <w:t>Høringssvar L182.</w:t>
      </w:r>
      <w:r w:rsidR="00FD3EE8" w:rsidRPr="00EF437B">
        <w:rPr>
          <w:rFonts w:ascii="Arial" w:hAnsi="Arial" w:cs="Arial"/>
          <w:lang w:val="en-US"/>
        </w:rPr>
        <w:t>In English: Public consultation responses on proposal 182, session 2011-12. Do</w:t>
      </w:r>
      <w:r w:rsidRPr="00EF437B">
        <w:rPr>
          <w:rFonts w:ascii="Arial" w:hAnsi="Arial" w:cs="Arial"/>
          <w:lang w:val="en-US"/>
        </w:rPr>
        <w:t>wnloaded 20 March 2014</w:t>
      </w:r>
      <w:r w:rsidR="00FD3EE8" w:rsidRPr="00EF437B">
        <w:rPr>
          <w:rFonts w:ascii="Arial" w:hAnsi="Arial" w:cs="Arial"/>
          <w:lang w:val="en-US"/>
        </w:rPr>
        <w:t xml:space="preserve"> from</w:t>
      </w:r>
      <w:r w:rsidRPr="00EF437B">
        <w:rPr>
          <w:rFonts w:ascii="Arial" w:hAnsi="Arial" w:cs="Arial"/>
          <w:lang w:val="en-US"/>
        </w:rPr>
        <w:t xml:space="preserve"> http://www.ft.dk/samling/20111/lovforslag/l182/bilag/1/index.htm#nav</w:t>
      </w:r>
    </w:p>
    <w:p w:rsidR="000F548F" w:rsidRPr="00EF437B" w:rsidRDefault="000F548F" w:rsidP="005158B5">
      <w:pPr>
        <w:spacing w:line="480" w:lineRule="auto"/>
        <w:jc w:val="both"/>
        <w:rPr>
          <w:rFonts w:ascii="Arial" w:hAnsi="Arial" w:cs="Arial"/>
        </w:rPr>
      </w:pPr>
      <w:r w:rsidRPr="00EF437B">
        <w:rPr>
          <w:rFonts w:ascii="Arial" w:hAnsi="Arial" w:cs="Arial"/>
        </w:rPr>
        <w:t>Flinders, M. (2005) Majoritarian democracy in Britain.</w:t>
      </w:r>
      <w:r w:rsidRPr="00EF437B">
        <w:rPr>
          <w:rFonts w:ascii="Arial" w:hAnsi="Arial" w:cs="Arial"/>
          <w:i/>
        </w:rPr>
        <w:t>West European Politics</w:t>
      </w:r>
      <w:r w:rsidRPr="00EF437B">
        <w:rPr>
          <w:rFonts w:ascii="Arial" w:hAnsi="Arial" w:cs="Arial"/>
        </w:rPr>
        <w:t xml:space="preserve"> 28(1): 61–93</w:t>
      </w:r>
    </w:p>
    <w:p w:rsidR="001D516E" w:rsidRPr="00EF437B" w:rsidRDefault="001D516E" w:rsidP="005158B5">
      <w:pPr>
        <w:spacing w:line="480" w:lineRule="auto"/>
        <w:jc w:val="both"/>
        <w:rPr>
          <w:rFonts w:ascii="Arial" w:hAnsi="Arial" w:cs="Arial"/>
        </w:rPr>
      </w:pPr>
      <w:r w:rsidRPr="00EF437B">
        <w:rPr>
          <w:rFonts w:ascii="Arial" w:hAnsi="Arial" w:cs="Arial"/>
        </w:rPr>
        <w:t>Funch, M</w:t>
      </w:r>
      <w:r w:rsidR="00F42562" w:rsidRPr="00EF437B">
        <w:rPr>
          <w:rFonts w:ascii="Arial" w:hAnsi="Arial" w:cs="Arial"/>
        </w:rPr>
        <w:t>.</w:t>
      </w:r>
      <w:r w:rsidRPr="00EF437B">
        <w:rPr>
          <w:rFonts w:ascii="Arial" w:hAnsi="Arial" w:cs="Arial"/>
        </w:rPr>
        <w:t xml:space="preserve"> (2006). </w:t>
      </w:r>
      <w:r w:rsidRPr="00EF437B">
        <w:rPr>
          <w:rFonts w:ascii="Arial" w:hAnsi="Arial" w:cs="Arial"/>
          <w:i/>
        </w:rPr>
        <w:t>NyMiljødagsordeniDanmark.AnalysNorden</w:t>
      </w:r>
      <w:r w:rsidRPr="00EF437B">
        <w:rPr>
          <w:rFonts w:ascii="Arial" w:hAnsi="Arial" w:cs="Arial"/>
        </w:rPr>
        <w:t>. Nordisk Ministerråd. Accessed 21</w:t>
      </w:r>
      <w:r w:rsidRPr="00EF437B">
        <w:rPr>
          <w:rFonts w:ascii="Arial" w:hAnsi="Arial" w:cs="Arial"/>
          <w:vertAlign w:val="superscript"/>
        </w:rPr>
        <w:t>st</w:t>
      </w:r>
      <w:r w:rsidRPr="00EF437B">
        <w:rPr>
          <w:rFonts w:ascii="Arial" w:hAnsi="Arial" w:cs="Arial"/>
        </w:rPr>
        <w:t xml:space="preserve"> August 2014 from http://www.norden.org/da/analys-norden/tema/energi</w:t>
      </w:r>
    </w:p>
    <w:p w:rsidR="008969DB" w:rsidRPr="00EF437B" w:rsidRDefault="008969DB" w:rsidP="005158B5">
      <w:pPr>
        <w:autoSpaceDE w:val="0"/>
        <w:autoSpaceDN w:val="0"/>
        <w:adjustRightInd w:val="0"/>
        <w:spacing w:after="0" w:line="480" w:lineRule="auto"/>
        <w:jc w:val="both"/>
        <w:rPr>
          <w:rFonts w:ascii="Arial" w:hAnsi="Arial" w:cs="Arial"/>
        </w:rPr>
      </w:pPr>
      <w:r w:rsidRPr="00EF437B">
        <w:rPr>
          <w:rFonts w:ascii="Arial" w:hAnsi="Arial" w:cs="Arial"/>
        </w:rPr>
        <w:t>Green-</w:t>
      </w:r>
      <w:r w:rsidR="001D516E" w:rsidRPr="00EF437B">
        <w:rPr>
          <w:rFonts w:ascii="Arial" w:hAnsi="Arial" w:cs="Arial"/>
        </w:rPr>
        <w:t>P</w:t>
      </w:r>
      <w:r w:rsidRPr="00EF437B">
        <w:rPr>
          <w:rFonts w:ascii="Arial" w:hAnsi="Arial" w:cs="Arial"/>
        </w:rPr>
        <w:t xml:space="preserve">edersen, </w:t>
      </w:r>
      <w:r w:rsidR="001D516E" w:rsidRPr="00EF437B">
        <w:rPr>
          <w:rFonts w:ascii="Arial" w:hAnsi="Arial" w:cs="Arial"/>
        </w:rPr>
        <w:t>C</w:t>
      </w:r>
      <w:r w:rsidRPr="00EF437B">
        <w:rPr>
          <w:rFonts w:ascii="Arial" w:hAnsi="Arial" w:cs="Arial"/>
        </w:rPr>
        <w:t>. Hoffmann Thomsen, L. (2005) Bloc Politics vs. Broad Cooperation?</w:t>
      </w:r>
      <w:r w:rsidR="001D516E" w:rsidRPr="00EF437B">
        <w:rPr>
          <w:rFonts w:ascii="Arial" w:hAnsi="Arial" w:cs="Arial"/>
        </w:rPr>
        <w:t xml:space="preserve"> T</w:t>
      </w:r>
      <w:r w:rsidRPr="00EF437B">
        <w:rPr>
          <w:rFonts w:ascii="Arial" w:hAnsi="Arial" w:cs="Arial"/>
        </w:rPr>
        <w:t xml:space="preserve">he functioning of Danish minorityparliamentarism, </w:t>
      </w:r>
      <w:r w:rsidRPr="00EF437B">
        <w:rPr>
          <w:rFonts w:ascii="Arial" w:hAnsi="Arial" w:cs="Arial"/>
          <w:i/>
        </w:rPr>
        <w:t>The Journal of Legislative Studies</w:t>
      </w:r>
      <w:r w:rsidRPr="00EF437B">
        <w:rPr>
          <w:rFonts w:ascii="Arial" w:hAnsi="Arial" w:cs="Arial"/>
        </w:rPr>
        <w:t>, 11:2, 153-169</w:t>
      </w:r>
    </w:p>
    <w:p w:rsidR="009A0ACE" w:rsidRPr="00EF437B" w:rsidRDefault="006A5CB3" w:rsidP="005158B5">
      <w:pPr>
        <w:autoSpaceDE w:val="0"/>
        <w:autoSpaceDN w:val="0"/>
        <w:adjustRightInd w:val="0"/>
        <w:spacing w:after="0" w:line="480" w:lineRule="auto"/>
        <w:jc w:val="both"/>
        <w:rPr>
          <w:rFonts w:ascii="Arial" w:hAnsi="Arial" w:cs="Arial"/>
        </w:rPr>
      </w:pPr>
      <w:r w:rsidRPr="00EF437B">
        <w:rPr>
          <w:rFonts w:ascii="Arial" w:hAnsi="Arial" w:cs="Arial"/>
        </w:rPr>
        <w:t xml:space="preserve">Greer, S, Jarman, H.,  (2008) ‘Policy Styles and Devolution’, in Tench, A., </w:t>
      </w:r>
      <w:r w:rsidRPr="00EF437B">
        <w:rPr>
          <w:rFonts w:ascii="Arial" w:hAnsi="Arial" w:cs="Arial"/>
          <w:i/>
        </w:rPr>
        <w:t>The State of the Nation 2008</w:t>
      </w:r>
      <w:r w:rsidRPr="00EF437B">
        <w:rPr>
          <w:rFonts w:ascii="Arial" w:hAnsi="Arial" w:cs="Arial"/>
        </w:rPr>
        <w:t>, Exeter, Imprint Academic</w:t>
      </w:r>
      <w:r w:rsidR="002A6FBE" w:rsidRPr="00EF437B">
        <w:rPr>
          <w:rFonts w:ascii="Arial" w:hAnsi="Arial" w:cs="Arial"/>
        </w:rPr>
        <w:t>, 167-196</w:t>
      </w:r>
    </w:p>
    <w:p w:rsidR="006A5CB3" w:rsidRPr="00EF437B" w:rsidRDefault="006A5CB3" w:rsidP="005158B5">
      <w:pPr>
        <w:autoSpaceDE w:val="0"/>
        <w:autoSpaceDN w:val="0"/>
        <w:adjustRightInd w:val="0"/>
        <w:spacing w:after="0" w:line="480" w:lineRule="auto"/>
        <w:jc w:val="both"/>
        <w:rPr>
          <w:rFonts w:ascii="Arial" w:hAnsi="Arial" w:cs="Arial"/>
        </w:rPr>
      </w:pPr>
    </w:p>
    <w:p w:rsidR="009A0ACE" w:rsidRPr="00EF437B" w:rsidRDefault="009A0ACE" w:rsidP="005158B5">
      <w:pPr>
        <w:autoSpaceDE w:val="0"/>
        <w:autoSpaceDN w:val="0"/>
        <w:adjustRightInd w:val="0"/>
        <w:spacing w:after="0" w:line="480" w:lineRule="auto"/>
        <w:jc w:val="both"/>
        <w:rPr>
          <w:rFonts w:ascii="Arial" w:hAnsi="Arial" w:cs="Arial"/>
        </w:rPr>
      </w:pPr>
    </w:p>
    <w:p w:rsidR="009A0ACE" w:rsidRPr="00EF437B" w:rsidRDefault="00336C21" w:rsidP="005158B5">
      <w:pPr>
        <w:spacing w:line="480" w:lineRule="auto"/>
        <w:jc w:val="both"/>
        <w:rPr>
          <w:rFonts w:ascii="Arial" w:hAnsi="Arial" w:cs="Arial"/>
        </w:rPr>
      </w:pPr>
      <w:r w:rsidRPr="00EF437B">
        <w:rPr>
          <w:rFonts w:ascii="Arial" w:hAnsi="Arial" w:cs="Arial"/>
        </w:rPr>
        <w:t xml:space="preserve">HM Treasury/DECC. </w:t>
      </w:r>
      <w:r w:rsidR="004273A5" w:rsidRPr="00EF437B">
        <w:rPr>
          <w:rFonts w:ascii="Arial" w:hAnsi="Arial" w:cs="Arial"/>
        </w:rPr>
        <w:t>(</w:t>
      </w:r>
      <w:r w:rsidRPr="00EF437B">
        <w:rPr>
          <w:rFonts w:ascii="Arial" w:hAnsi="Arial" w:cs="Arial"/>
        </w:rPr>
        <w:t>2010</w:t>
      </w:r>
      <w:r w:rsidR="004273A5" w:rsidRPr="00EF437B">
        <w:rPr>
          <w:rFonts w:ascii="Arial" w:hAnsi="Arial" w:cs="Arial"/>
        </w:rPr>
        <w:t>)</w:t>
      </w:r>
      <w:r w:rsidRPr="00EF437B">
        <w:rPr>
          <w:rFonts w:ascii="Arial" w:hAnsi="Arial" w:cs="Arial"/>
        </w:rPr>
        <w:t xml:space="preserve"> </w:t>
      </w:r>
      <w:r w:rsidRPr="00EF437B">
        <w:rPr>
          <w:rFonts w:ascii="Arial" w:hAnsi="Arial" w:cs="Arial"/>
          <w:i/>
        </w:rPr>
        <w:t>Energy Market Assessment</w:t>
      </w:r>
      <w:r w:rsidRPr="00EF437B">
        <w:rPr>
          <w:rFonts w:ascii="Arial" w:hAnsi="Arial" w:cs="Arial"/>
        </w:rPr>
        <w:t xml:space="preserve">, </w:t>
      </w:r>
      <w:hyperlink r:id="rId24" w:history="1">
        <w:r w:rsidRPr="00EF437B">
          <w:rPr>
            <w:rStyle w:val="Hyperlink"/>
            <w:rFonts w:ascii="Arial" w:hAnsi="Arial" w:cs="Arial"/>
          </w:rPr>
          <w:t>http://www.direct.gov.uk/prod_consum_dg/groups/dg_digitalassets/@dg/@en/documents/digitalasset/dg_186447.pdf</w:t>
        </w:r>
      </w:hyperlink>
    </w:p>
    <w:p w:rsidR="00336C21" w:rsidRPr="00EF437B" w:rsidRDefault="00C17F88" w:rsidP="005158B5">
      <w:pPr>
        <w:autoSpaceDE w:val="0"/>
        <w:autoSpaceDN w:val="0"/>
        <w:adjustRightInd w:val="0"/>
        <w:spacing w:after="0" w:line="480" w:lineRule="auto"/>
        <w:jc w:val="both"/>
        <w:rPr>
          <w:rFonts w:ascii="Arial" w:hAnsi="Arial" w:cs="Arial"/>
        </w:rPr>
      </w:pPr>
      <w:r w:rsidRPr="00EF437B">
        <w:rPr>
          <w:rFonts w:ascii="Arial" w:hAnsi="Arial" w:cs="Arial"/>
        </w:rPr>
        <w:t>Jakobsen, MadsLethFelsager (2007).</w:t>
      </w:r>
      <w:r w:rsidRPr="00EF437B">
        <w:rPr>
          <w:rFonts w:ascii="Arial" w:hAnsi="Arial" w:cs="Arial"/>
          <w:i/>
        </w:rPr>
        <w:t>Nårusikkerhedenerstørst….En analyse afideer, EU-kravogglobaliseringensbetydning for liberaliseringsprocesserne I de danskesektorer for telekommunikationogelektricitetsforsyning</w:t>
      </w:r>
      <w:r w:rsidRPr="00EF437B">
        <w:rPr>
          <w:rFonts w:ascii="Arial" w:hAnsi="Arial" w:cs="Arial"/>
        </w:rPr>
        <w:t xml:space="preserve">. Institut for Statskundskab, Aarhus Universitet: Politicasph.d.serie. </w:t>
      </w:r>
    </w:p>
    <w:p w:rsidR="00900C46" w:rsidRPr="00EF437B" w:rsidRDefault="00900C46" w:rsidP="005158B5">
      <w:pPr>
        <w:autoSpaceDE w:val="0"/>
        <w:autoSpaceDN w:val="0"/>
        <w:adjustRightInd w:val="0"/>
        <w:spacing w:after="0" w:line="480" w:lineRule="auto"/>
        <w:jc w:val="both"/>
        <w:rPr>
          <w:rFonts w:ascii="Arial" w:hAnsi="Arial" w:cs="Arial"/>
        </w:rPr>
      </w:pPr>
    </w:p>
    <w:p w:rsidR="00900C46" w:rsidRPr="00EF437B" w:rsidRDefault="00900C46" w:rsidP="005158B5">
      <w:pPr>
        <w:autoSpaceDE w:val="0"/>
        <w:autoSpaceDN w:val="0"/>
        <w:adjustRightInd w:val="0"/>
        <w:spacing w:after="0" w:line="480" w:lineRule="auto"/>
        <w:jc w:val="both"/>
        <w:rPr>
          <w:rFonts w:ascii="Arial" w:hAnsi="Arial" w:cs="Arial"/>
        </w:rPr>
      </w:pPr>
      <w:r w:rsidRPr="00EF437B">
        <w:rPr>
          <w:rFonts w:ascii="Arial" w:hAnsi="Arial" w:cs="Arial"/>
          <w:lang w:eastAsia="en-GB"/>
        </w:rPr>
        <w:t xml:space="preserve">Jordan, G., W. Maloney and A. McLaughlin. </w:t>
      </w:r>
      <w:r w:rsidR="00386A22" w:rsidRPr="00EF437B">
        <w:rPr>
          <w:rFonts w:ascii="Arial" w:hAnsi="Arial" w:cs="Arial"/>
          <w:lang w:eastAsia="en-GB"/>
        </w:rPr>
        <w:t>(</w:t>
      </w:r>
      <w:r w:rsidRPr="00EF437B">
        <w:rPr>
          <w:rFonts w:ascii="Arial" w:hAnsi="Arial" w:cs="Arial"/>
          <w:lang w:eastAsia="en-GB"/>
        </w:rPr>
        <w:t>1994</w:t>
      </w:r>
      <w:r w:rsidR="00386A22" w:rsidRPr="00EF437B">
        <w:rPr>
          <w:rFonts w:ascii="Arial" w:hAnsi="Arial" w:cs="Arial"/>
          <w:lang w:eastAsia="en-GB"/>
        </w:rPr>
        <w:t>)</w:t>
      </w:r>
      <w:r w:rsidRPr="00EF437B">
        <w:rPr>
          <w:rFonts w:ascii="Arial" w:hAnsi="Arial" w:cs="Arial"/>
          <w:lang w:eastAsia="en-GB"/>
        </w:rPr>
        <w:t xml:space="preserve"> ‘Characterising Agricultural Policy Networks’, </w:t>
      </w:r>
      <w:r w:rsidRPr="00EF437B">
        <w:rPr>
          <w:rFonts w:ascii="Arial" w:hAnsi="Arial" w:cs="Arial"/>
          <w:i/>
          <w:iCs/>
          <w:lang w:eastAsia="en-GB"/>
        </w:rPr>
        <w:t>Public Administration</w:t>
      </w:r>
      <w:r w:rsidRPr="00EF437B">
        <w:rPr>
          <w:rFonts w:ascii="Arial" w:hAnsi="Arial" w:cs="Arial"/>
          <w:lang w:eastAsia="en-GB"/>
        </w:rPr>
        <w:t>, 72, 4,505–26</w:t>
      </w:r>
    </w:p>
    <w:p w:rsidR="00C17F88" w:rsidRPr="00EF437B" w:rsidRDefault="00C17F88" w:rsidP="005158B5">
      <w:pPr>
        <w:autoSpaceDE w:val="0"/>
        <w:autoSpaceDN w:val="0"/>
        <w:adjustRightInd w:val="0"/>
        <w:spacing w:after="0" w:line="480" w:lineRule="auto"/>
        <w:jc w:val="both"/>
        <w:rPr>
          <w:rFonts w:ascii="Arial" w:hAnsi="Arial" w:cs="Arial"/>
        </w:rPr>
      </w:pPr>
    </w:p>
    <w:p w:rsidR="00625B67" w:rsidRPr="00EF437B" w:rsidRDefault="00625B67" w:rsidP="005158B5">
      <w:pPr>
        <w:autoSpaceDE w:val="0"/>
        <w:autoSpaceDN w:val="0"/>
        <w:adjustRightInd w:val="0"/>
        <w:spacing w:after="0" w:line="480" w:lineRule="auto"/>
        <w:jc w:val="both"/>
        <w:rPr>
          <w:rFonts w:ascii="Arial" w:hAnsi="Arial" w:cs="Arial"/>
        </w:rPr>
      </w:pPr>
      <w:r w:rsidRPr="00EF437B">
        <w:rPr>
          <w:rFonts w:ascii="Arial" w:hAnsi="Arial" w:cs="Arial"/>
        </w:rPr>
        <w:t>Jordan, A. and Richardson, J. (1982) The British policy style or the logic of negotiation?</w:t>
      </w:r>
    </w:p>
    <w:p w:rsidR="00D81AC9" w:rsidRPr="00EF437B" w:rsidRDefault="00625B67" w:rsidP="005158B5">
      <w:pPr>
        <w:spacing w:line="480" w:lineRule="auto"/>
        <w:jc w:val="both"/>
        <w:rPr>
          <w:rFonts w:ascii="Arial" w:hAnsi="Arial" w:cs="Arial"/>
        </w:rPr>
      </w:pPr>
      <w:r w:rsidRPr="00EF437B">
        <w:rPr>
          <w:rFonts w:ascii="Arial" w:hAnsi="Arial" w:cs="Arial"/>
        </w:rPr>
        <w:t>In: J.J. Richardson (ed</w:t>
      </w:r>
      <w:r w:rsidRPr="00EF437B">
        <w:rPr>
          <w:rFonts w:ascii="Arial" w:hAnsi="Arial" w:cs="Arial"/>
          <w:i/>
        </w:rPr>
        <w:t>.) Policy Styles in Western Europe</w:t>
      </w:r>
      <w:r w:rsidR="00880A11" w:rsidRPr="00EF437B">
        <w:rPr>
          <w:rFonts w:ascii="Arial" w:hAnsi="Arial" w:cs="Arial"/>
        </w:rPr>
        <w:t>. London: Allen and Unwin, 80-110</w:t>
      </w:r>
    </w:p>
    <w:p w:rsidR="00AB7AE8" w:rsidRPr="00EF437B" w:rsidRDefault="00AB7AE8" w:rsidP="005158B5">
      <w:pPr>
        <w:spacing w:line="480" w:lineRule="auto"/>
        <w:jc w:val="both"/>
        <w:rPr>
          <w:rFonts w:ascii="Arial" w:hAnsi="Arial" w:cs="Arial"/>
          <w:bCs/>
          <w:i/>
          <w:iCs/>
        </w:rPr>
      </w:pPr>
      <w:r w:rsidRPr="00EF437B">
        <w:rPr>
          <w:rFonts w:ascii="Arial" w:hAnsi="Arial" w:cs="Arial"/>
        </w:rPr>
        <w:t xml:space="preserve">Jordan, G., Schubert, K., (1992) </w:t>
      </w:r>
      <w:r w:rsidRPr="00EF437B">
        <w:rPr>
          <w:rFonts w:ascii="Arial" w:hAnsi="Arial" w:cs="Arial"/>
          <w:bCs/>
        </w:rPr>
        <w:t>A preliminary ordering of policy network labels</w:t>
      </w:r>
      <w:r w:rsidR="00F42562" w:rsidRPr="00EF437B">
        <w:rPr>
          <w:rFonts w:ascii="Arial" w:hAnsi="Arial" w:cs="Arial"/>
          <w:bCs/>
        </w:rPr>
        <w:t xml:space="preserve">, </w:t>
      </w:r>
      <w:r w:rsidRPr="00EF437B">
        <w:rPr>
          <w:rFonts w:ascii="Arial" w:hAnsi="Arial" w:cs="Arial"/>
          <w:bCs/>
          <w:i/>
          <w:iCs/>
        </w:rPr>
        <w:t xml:space="preserve">European Journal </w:t>
      </w:r>
      <w:r w:rsidRPr="00EF437B">
        <w:rPr>
          <w:rFonts w:ascii="Arial" w:hAnsi="Arial" w:cs="Arial"/>
        </w:rPr>
        <w:t xml:space="preserve">of </w:t>
      </w:r>
      <w:r w:rsidRPr="00EF437B">
        <w:rPr>
          <w:rFonts w:ascii="Arial" w:hAnsi="Arial" w:cs="Arial"/>
          <w:bCs/>
          <w:i/>
          <w:iCs/>
        </w:rPr>
        <w:t>Political Research</w:t>
      </w:r>
      <w:r w:rsidR="00F42562" w:rsidRPr="00EF437B">
        <w:rPr>
          <w:rFonts w:ascii="Arial" w:hAnsi="Arial" w:cs="Arial"/>
          <w:bCs/>
          <w:i/>
          <w:iCs/>
        </w:rPr>
        <w:t xml:space="preserve"> </w:t>
      </w:r>
      <w:r w:rsidRPr="00EF437B">
        <w:rPr>
          <w:rFonts w:ascii="Arial" w:hAnsi="Arial" w:cs="Arial"/>
          <w:bCs/>
        </w:rPr>
        <w:t xml:space="preserve">21: </w:t>
      </w:r>
      <w:r w:rsidRPr="00EF437B">
        <w:rPr>
          <w:rFonts w:ascii="Arial" w:hAnsi="Arial" w:cs="Arial"/>
          <w:bCs/>
          <w:i/>
          <w:iCs/>
        </w:rPr>
        <w:t>721,.</w:t>
      </w:r>
    </w:p>
    <w:p w:rsidR="00F551AA" w:rsidRPr="00EF437B" w:rsidRDefault="00F551AA" w:rsidP="005158B5">
      <w:pPr>
        <w:spacing w:line="480" w:lineRule="auto"/>
        <w:jc w:val="both"/>
        <w:rPr>
          <w:rFonts w:ascii="Arial" w:hAnsi="Arial" w:cs="Arial"/>
          <w:bCs/>
          <w:i/>
          <w:iCs/>
        </w:rPr>
      </w:pPr>
    </w:p>
    <w:p w:rsidR="00F551AA" w:rsidRPr="00EF437B" w:rsidRDefault="00F551AA" w:rsidP="005158B5">
      <w:pPr>
        <w:autoSpaceDE w:val="0"/>
        <w:autoSpaceDN w:val="0"/>
        <w:adjustRightInd w:val="0"/>
        <w:spacing w:after="0" w:line="480" w:lineRule="auto"/>
        <w:jc w:val="both"/>
        <w:rPr>
          <w:rFonts w:ascii="Arial" w:hAnsi="Arial" w:cs="Arial"/>
          <w:lang w:val="da-DK"/>
        </w:rPr>
      </w:pPr>
      <w:r w:rsidRPr="00410D8E">
        <w:rPr>
          <w:rFonts w:ascii="Arial" w:hAnsi="Arial" w:cs="Arial"/>
          <w:lang w:val="da-DK"/>
        </w:rPr>
        <w:t xml:space="preserve">Jyllandsposten </w:t>
      </w:r>
      <w:r w:rsidRPr="00EF437B">
        <w:rPr>
          <w:rFonts w:ascii="Arial" w:hAnsi="Arial" w:cs="Arial"/>
          <w:lang w:val="da-DK"/>
        </w:rPr>
        <w:t xml:space="preserve"> (2011) Erhvervslivet lægger pres på V og K. Main section p. 11, 8th December</w:t>
      </w:r>
    </w:p>
    <w:p w:rsidR="00F551AA" w:rsidRPr="00EF437B" w:rsidRDefault="00F551AA" w:rsidP="005158B5">
      <w:pPr>
        <w:autoSpaceDE w:val="0"/>
        <w:autoSpaceDN w:val="0"/>
        <w:adjustRightInd w:val="0"/>
        <w:spacing w:after="0" w:line="480" w:lineRule="auto"/>
        <w:jc w:val="both"/>
        <w:rPr>
          <w:rFonts w:ascii="Arial" w:hAnsi="Arial" w:cs="Arial"/>
          <w:lang w:val="da-DK"/>
        </w:rPr>
      </w:pPr>
    </w:p>
    <w:p w:rsidR="00F551AA" w:rsidRPr="00EF437B" w:rsidRDefault="00F551AA" w:rsidP="005158B5">
      <w:pPr>
        <w:autoSpaceDE w:val="0"/>
        <w:autoSpaceDN w:val="0"/>
        <w:adjustRightInd w:val="0"/>
        <w:spacing w:after="0" w:line="480" w:lineRule="auto"/>
        <w:jc w:val="both"/>
        <w:rPr>
          <w:rFonts w:ascii="Arial" w:hAnsi="Arial" w:cs="Arial"/>
          <w:lang w:val="da-DK"/>
        </w:rPr>
      </w:pPr>
      <w:r w:rsidRPr="00410D8E">
        <w:rPr>
          <w:rFonts w:ascii="Arial" w:hAnsi="Arial" w:cs="Arial"/>
          <w:lang w:val="da-DK"/>
        </w:rPr>
        <w:t xml:space="preserve">Jyllandsposten </w:t>
      </w:r>
      <w:r w:rsidRPr="00EF437B">
        <w:rPr>
          <w:rFonts w:ascii="Arial" w:hAnsi="Arial" w:cs="Arial"/>
          <w:lang w:val="da-DK"/>
        </w:rPr>
        <w:t>(2012) Erhvervskæmper frygter energiaftale. Business section, p. 6, 21st March</w:t>
      </w:r>
    </w:p>
    <w:p w:rsidR="00F551AA" w:rsidRPr="00EF437B" w:rsidRDefault="00F551AA" w:rsidP="005158B5">
      <w:pPr>
        <w:spacing w:line="480" w:lineRule="auto"/>
        <w:jc w:val="both"/>
        <w:rPr>
          <w:rFonts w:ascii="Arial" w:hAnsi="Arial" w:cs="Arial"/>
        </w:rPr>
      </w:pPr>
    </w:p>
    <w:p w:rsidR="0023382A" w:rsidRPr="00EF437B" w:rsidRDefault="0023382A" w:rsidP="005158B5">
      <w:pPr>
        <w:autoSpaceDE w:val="0"/>
        <w:autoSpaceDN w:val="0"/>
        <w:adjustRightInd w:val="0"/>
        <w:spacing w:after="0" w:line="480" w:lineRule="auto"/>
        <w:jc w:val="both"/>
        <w:rPr>
          <w:rFonts w:ascii="Arial" w:hAnsi="Arial" w:cs="Arial"/>
          <w:lang w:val="en-US"/>
        </w:rPr>
      </w:pPr>
      <w:r w:rsidRPr="00EF437B">
        <w:rPr>
          <w:rFonts w:ascii="Arial" w:hAnsi="Arial" w:cs="Arial"/>
          <w:lang w:val="da-DK"/>
        </w:rPr>
        <w:t>Klima-og energiministeriet (2011).</w:t>
      </w:r>
      <w:r w:rsidRPr="00EF437B">
        <w:rPr>
          <w:rFonts w:ascii="Arial" w:hAnsi="Arial" w:cs="Arial"/>
          <w:i/>
          <w:lang w:val="da-DK"/>
        </w:rPr>
        <w:t>Energistrategi 2050– fra kul, olie og gas til grøn energi</w:t>
      </w:r>
      <w:r w:rsidRPr="00EF437B">
        <w:rPr>
          <w:rFonts w:ascii="Arial" w:hAnsi="Arial" w:cs="Arial"/>
          <w:lang w:val="da-DK"/>
        </w:rPr>
        <w:t xml:space="preserve">. </w:t>
      </w:r>
      <w:r w:rsidR="00444826" w:rsidRPr="00EF437B">
        <w:rPr>
          <w:rFonts w:ascii="Arial" w:hAnsi="Arial" w:cs="Arial"/>
          <w:lang w:val="en-US"/>
        </w:rPr>
        <w:t xml:space="preserve">Februar 2011: 6. Copenhagen: Danish Ministry of Climate and Energy. </w:t>
      </w:r>
    </w:p>
    <w:p w:rsidR="0035583D" w:rsidRPr="00EF437B" w:rsidRDefault="0035583D" w:rsidP="005158B5">
      <w:pPr>
        <w:autoSpaceDE w:val="0"/>
        <w:autoSpaceDN w:val="0"/>
        <w:adjustRightInd w:val="0"/>
        <w:spacing w:after="0" w:line="480" w:lineRule="auto"/>
        <w:jc w:val="both"/>
        <w:rPr>
          <w:rFonts w:ascii="Arial" w:hAnsi="Arial" w:cs="Arial"/>
          <w:lang w:val="en-US"/>
        </w:rPr>
      </w:pPr>
    </w:p>
    <w:p w:rsidR="00336DC4" w:rsidRPr="00EF437B" w:rsidRDefault="00336DC4" w:rsidP="005158B5">
      <w:pPr>
        <w:autoSpaceDE w:val="0"/>
        <w:autoSpaceDN w:val="0"/>
        <w:adjustRightInd w:val="0"/>
        <w:spacing w:after="0" w:line="480" w:lineRule="auto"/>
        <w:jc w:val="both"/>
        <w:rPr>
          <w:rFonts w:ascii="Arial" w:hAnsi="Arial" w:cs="Arial"/>
          <w:lang w:val="da-DK"/>
        </w:rPr>
      </w:pPr>
      <w:r w:rsidRPr="00EF437B">
        <w:rPr>
          <w:rFonts w:ascii="Arial" w:hAnsi="Arial" w:cs="Arial"/>
          <w:lang w:val="da-DK"/>
        </w:rPr>
        <w:t>Klimakommi</w:t>
      </w:r>
      <w:r w:rsidR="0023382A" w:rsidRPr="00EF437B">
        <w:rPr>
          <w:rFonts w:ascii="Arial" w:hAnsi="Arial" w:cs="Arial"/>
          <w:lang w:val="da-DK"/>
        </w:rPr>
        <w:t>ssi</w:t>
      </w:r>
      <w:r w:rsidRPr="00EF437B">
        <w:rPr>
          <w:rFonts w:ascii="Arial" w:hAnsi="Arial" w:cs="Arial"/>
          <w:lang w:val="da-DK"/>
        </w:rPr>
        <w:t xml:space="preserve">onen (2010), Green Energy, </w:t>
      </w:r>
      <w:hyperlink r:id="rId25" w:history="1">
        <w:r w:rsidR="00D07E40" w:rsidRPr="00EF437B">
          <w:rPr>
            <w:rStyle w:val="Hyperlink"/>
            <w:rFonts w:ascii="Arial" w:hAnsi="Arial" w:cs="Arial"/>
            <w:lang w:val="da-DK"/>
          </w:rPr>
          <w:t>http://www.ens.dk/sites/ens.dk/files/politik/dansk-klima-energipolitik/klimakommissionen/groen-energi/groen%20energi%20DK%20screen%201sidet%20v2.pdf</w:t>
        </w:r>
      </w:hyperlink>
    </w:p>
    <w:p w:rsidR="00D07E40" w:rsidRPr="00EF437B" w:rsidRDefault="00D07E40" w:rsidP="005158B5">
      <w:pPr>
        <w:autoSpaceDE w:val="0"/>
        <w:autoSpaceDN w:val="0"/>
        <w:adjustRightInd w:val="0"/>
        <w:spacing w:after="0" w:line="480" w:lineRule="auto"/>
        <w:jc w:val="both"/>
        <w:rPr>
          <w:rFonts w:ascii="Arial" w:hAnsi="Arial" w:cs="Arial"/>
          <w:lang w:val="da-DK"/>
        </w:rPr>
      </w:pPr>
    </w:p>
    <w:p w:rsidR="00D07E40" w:rsidRPr="00EF437B" w:rsidRDefault="00D07E40" w:rsidP="005158B5">
      <w:pPr>
        <w:autoSpaceDE w:val="0"/>
        <w:autoSpaceDN w:val="0"/>
        <w:adjustRightInd w:val="0"/>
        <w:spacing w:after="0" w:line="480" w:lineRule="auto"/>
        <w:jc w:val="both"/>
        <w:rPr>
          <w:rFonts w:ascii="Arial" w:hAnsi="Arial" w:cs="Arial"/>
          <w:lang w:val="da-DK"/>
        </w:rPr>
      </w:pPr>
      <w:r w:rsidRPr="00EF437B">
        <w:rPr>
          <w:rFonts w:ascii="Arial" w:hAnsi="Arial" w:cs="Arial"/>
          <w:lang w:val="da-DK"/>
        </w:rPr>
        <w:t>Lijphart, A (1999), Patterns of Democracy, New Haven: Yale</w:t>
      </w:r>
    </w:p>
    <w:p w:rsidR="000A1D69" w:rsidRPr="00EF437B" w:rsidRDefault="000A1D69" w:rsidP="005158B5">
      <w:pPr>
        <w:autoSpaceDE w:val="0"/>
        <w:autoSpaceDN w:val="0"/>
        <w:adjustRightInd w:val="0"/>
        <w:spacing w:after="0" w:line="480" w:lineRule="auto"/>
        <w:jc w:val="both"/>
        <w:rPr>
          <w:rFonts w:ascii="Arial" w:hAnsi="Arial" w:cs="Arial"/>
          <w:lang w:val="da-DK"/>
        </w:rPr>
      </w:pPr>
    </w:p>
    <w:p w:rsidR="009A0ACE" w:rsidRPr="00EF437B" w:rsidRDefault="00FF61FC" w:rsidP="005158B5">
      <w:pPr>
        <w:autoSpaceDE w:val="0"/>
        <w:autoSpaceDN w:val="0"/>
        <w:adjustRightInd w:val="0"/>
        <w:spacing w:after="0" w:line="480" w:lineRule="auto"/>
        <w:jc w:val="both"/>
        <w:rPr>
          <w:rFonts w:ascii="Arial" w:hAnsi="Arial" w:cs="Arial"/>
          <w:lang w:val="da-DK"/>
        </w:rPr>
      </w:pPr>
      <w:r w:rsidRPr="00EF437B">
        <w:rPr>
          <w:rFonts w:ascii="Arial" w:hAnsi="Arial" w:cs="Arial"/>
          <w:lang w:eastAsia="en-GB"/>
        </w:rPr>
        <w:t>Kriesi, H., Adam, S. and Jochum, M. (2006) Comparative analysis of policy networks in Western</w:t>
      </w:r>
      <w:r w:rsidR="00CB1DF5" w:rsidRPr="00EF437B">
        <w:rPr>
          <w:rFonts w:ascii="Arial" w:hAnsi="Arial" w:cs="Arial"/>
          <w:lang w:eastAsia="en-GB"/>
        </w:rPr>
        <w:t xml:space="preserve"> </w:t>
      </w:r>
      <w:r w:rsidRPr="00EF437B">
        <w:rPr>
          <w:rFonts w:ascii="Arial" w:hAnsi="Arial" w:cs="Arial"/>
          <w:lang w:eastAsia="en-GB"/>
        </w:rPr>
        <w:t xml:space="preserve">Europe. </w:t>
      </w:r>
      <w:r w:rsidRPr="00EF437B">
        <w:rPr>
          <w:rFonts w:ascii="Arial" w:hAnsi="Arial" w:cs="Arial"/>
          <w:i/>
          <w:lang w:eastAsia="en-GB"/>
        </w:rPr>
        <w:t>Journal of European Public Policy</w:t>
      </w:r>
      <w:r w:rsidRPr="00EF437B">
        <w:rPr>
          <w:rFonts w:ascii="Arial" w:hAnsi="Arial" w:cs="Arial"/>
          <w:lang w:eastAsia="en-GB"/>
        </w:rPr>
        <w:t xml:space="preserve"> 13(3): 341–361.</w:t>
      </w:r>
    </w:p>
    <w:p w:rsidR="00336DC4" w:rsidRPr="00EF437B" w:rsidRDefault="00336DC4" w:rsidP="005158B5">
      <w:pPr>
        <w:autoSpaceDE w:val="0"/>
        <w:autoSpaceDN w:val="0"/>
        <w:adjustRightInd w:val="0"/>
        <w:spacing w:after="0" w:line="480" w:lineRule="auto"/>
        <w:jc w:val="both"/>
        <w:rPr>
          <w:rFonts w:ascii="Arial" w:hAnsi="Arial" w:cs="Arial"/>
          <w:lang w:val="da-DK"/>
        </w:rPr>
      </w:pPr>
    </w:p>
    <w:p w:rsidR="00FC24BC" w:rsidRPr="00EF437B" w:rsidRDefault="00FC24BC" w:rsidP="005158B5">
      <w:pPr>
        <w:autoSpaceDE w:val="0"/>
        <w:autoSpaceDN w:val="0"/>
        <w:adjustRightInd w:val="0"/>
        <w:spacing w:after="0" w:line="480" w:lineRule="auto"/>
        <w:jc w:val="both"/>
        <w:rPr>
          <w:rFonts w:ascii="Arial" w:hAnsi="Arial" w:cs="Arial"/>
        </w:rPr>
      </w:pPr>
      <w:r w:rsidRPr="00EF437B">
        <w:rPr>
          <w:rFonts w:ascii="Arial" w:hAnsi="Arial" w:cs="Arial"/>
        </w:rPr>
        <w:t xml:space="preserve">Lundaberg, C. </w:t>
      </w:r>
      <w:r w:rsidR="004058A3" w:rsidRPr="00EF437B">
        <w:rPr>
          <w:rFonts w:ascii="Arial" w:hAnsi="Arial" w:cs="Arial"/>
        </w:rPr>
        <w:t xml:space="preserve">(2013) </w:t>
      </w:r>
      <w:r w:rsidRPr="00EF437B">
        <w:rPr>
          <w:rFonts w:ascii="Arial" w:hAnsi="Arial" w:cs="Arial"/>
          <w:bCs/>
        </w:rPr>
        <w:t>Politics is Still an Adversarial Business:Minority Government and</w:t>
      </w:r>
      <w:r w:rsidR="004058A3" w:rsidRPr="00EF437B">
        <w:rPr>
          <w:rFonts w:ascii="Arial" w:hAnsi="Arial" w:cs="Arial"/>
          <w:bCs/>
        </w:rPr>
        <w:t xml:space="preserve"> </w:t>
      </w:r>
      <w:r w:rsidRPr="00EF437B">
        <w:rPr>
          <w:rFonts w:ascii="Arial" w:hAnsi="Arial" w:cs="Arial"/>
          <w:bCs/>
        </w:rPr>
        <w:t>Mixed-Member Proportional</w:t>
      </w:r>
      <w:r w:rsidR="004058A3" w:rsidRPr="00EF437B">
        <w:rPr>
          <w:rFonts w:ascii="Arial" w:hAnsi="Arial" w:cs="Arial"/>
          <w:bCs/>
        </w:rPr>
        <w:t xml:space="preserve"> </w:t>
      </w:r>
      <w:r w:rsidRPr="00EF437B">
        <w:rPr>
          <w:rFonts w:ascii="Arial" w:hAnsi="Arial" w:cs="Arial"/>
          <w:bCs/>
        </w:rPr>
        <w:t>Representation in Scotland and in</w:t>
      </w:r>
      <w:r w:rsidR="00145A04" w:rsidRPr="00EF437B">
        <w:rPr>
          <w:rFonts w:ascii="Arial" w:hAnsi="Arial" w:cs="Arial"/>
          <w:bCs/>
        </w:rPr>
        <w:t xml:space="preserve"> </w:t>
      </w:r>
      <w:r w:rsidRPr="00EF437B">
        <w:rPr>
          <w:rFonts w:ascii="Arial" w:hAnsi="Arial" w:cs="Arial"/>
          <w:bCs/>
        </w:rPr>
        <w:t>New Zealand</w:t>
      </w:r>
      <w:r w:rsidRPr="00EF437B">
        <w:rPr>
          <w:rFonts w:ascii="Arial" w:hAnsi="Arial" w:cs="Arial"/>
        </w:rPr>
        <w:t xml:space="preserve">, </w:t>
      </w:r>
      <w:r w:rsidRPr="00EF437B">
        <w:rPr>
          <w:rFonts w:ascii="Arial" w:hAnsi="Arial" w:cs="Arial"/>
          <w:i/>
          <w:iCs/>
        </w:rPr>
        <w:t>B</w:t>
      </w:r>
      <w:r w:rsidR="004058A3" w:rsidRPr="00EF437B">
        <w:rPr>
          <w:rFonts w:ascii="Arial" w:hAnsi="Arial" w:cs="Arial"/>
          <w:i/>
          <w:iCs/>
        </w:rPr>
        <w:t>ritish Journal of Politics and International Relations,</w:t>
      </w:r>
      <w:r w:rsidRPr="00EF437B">
        <w:rPr>
          <w:rFonts w:ascii="Arial" w:hAnsi="Arial" w:cs="Arial"/>
          <w:i/>
          <w:iCs/>
        </w:rPr>
        <w:t xml:space="preserve"> VOL 15, 609–625</w:t>
      </w:r>
    </w:p>
    <w:p w:rsidR="00FC24BC" w:rsidRPr="00EF437B" w:rsidRDefault="00FC24BC" w:rsidP="005158B5">
      <w:pPr>
        <w:autoSpaceDE w:val="0"/>
        <w:autoSpaceDN w:val="0"/>
        <w:adjustRightInd w:val="0"/>
        <w:spacing w:after="0" w:line="480" w:lineRule="auto"/>
        <w:jc w:val="both"/>
        <w:rPr>
          <w:rFonts w:ascii="Arial" w:hAnsi="Arial" w:cs="Arial"/>
        </w:rPr>
      </w:pPr>
    </w:p>
    <w:p w:rsidR="00E566F6" w:rsidRPr="00EF437B" w:rsidRDefault="00863068" w:rsidP="005158B5">
      <w:pPr>
        <w:autoSpaceDE w:val="0"/>
        <w:autoSpaceDN w:val="0"/>
        <w:adjustRightInd w:val="0"/>
        <w:spacing w:after="0" w:line="480" w:lineRule="auto"/>
        <w:jc w:val="both"/>
        <w:rPr>
          <w:rFonts w:ascii="Arial" w:hAnsi="Arial" w:cs="Arial"/>
        </w:rPr>
      </w:pPr>
      <w:r w:rsidRPr="00EF437B">
        <w:rPr>
          <w:rFonts w:ascii="Arial" w:hAnsi="Arial" w:cs="Arial"/>
        </w:rPr>
        <w:t>Marsh, D. (2008) Understanding British government: Analysing competing models. British Journal</w:t>
      </w:r>
      <w:r w:rsidR="00145A04" w:rsidRPr="00EF437B">
        <w:rPr>
          <w:rFonts w:ascii="Arial" w:hAnsi="Arial" w:cs="Arial"/>
        </w:rPr>
        <w:t xml:space="preserve"> </w:t>
      </w:r>
      <w:r w:rsidRPr="00EF437B">
        <w:rPr>
          <w:rFonts w:ascii="Arial" w:hAnsi="Arial" w:cs="Arial"/>
        </w:rPr>
        <w:t>of Politics and International Relations 10(2): 251–268.</w:t>
      </w:r>
    </w:p>
    <w:p w:rsidR="00E566F6" w:rsidRPr="00EF437B" w:rsidRDefault="00E566F6" w:rsidP="005158B5">
      <w:pPr>
        <w:spacing w:line="480" w:lineRule="auto"/>
        <w:jc w:val="both"/>
        <w:rPr>
          <w:rFonts w:ascii="Arial" w:hAnsi="Arial" w:cs="Arial"/>
        </w:rPr>
      </w:pPr>
      <w:r w:rsidRPr="00EF437B">
        <w:rPr>
          <w:rFonts w:ascii="Arial" w:hAnsi="Arial" w:cs="Arial"/>
        </w:rPr>
        <w:t>Marsh, D (2012) British politics: A view from afar, British Politics  7, 43–54</w:t>
      </w:r>
    </w:p>
    <w:p w:rsidR="00894540" w:rsidRPr="00EF437B" w:rsidRDefault="00894540" w:rsidP="005158B5">
      <w:pPr>
        <w:autoSpaceDE w:val="0"/>
        <w:autoSpaceDN w:val="0"/>
        <w:adjustRightInd w:val="0"/>
        <w:spacing w:after="0" w:line="480" w:lineRule="auto"/>
        <w:jc w:val="both"/>
        <w:rPr>
          <w:rFonts w:ascii="Arial" w:hAnsi="Arial" w:cs="Arial"/>
        </w:rPr>
      </w:pPr>
      <w:r w:rsidRPr="00EF437B">
        <w:rPr>
          <w:rFonts w:ascii="Arial" w:hAnsi="Arial" w:cs="Arial"/>
        </w:rPr>
        <w:t>Marsh, D. Hall, M., The British Political Tradition: Explaining the</w:t>
      </w:r>
      <w:r w:rsidR="00416BEC" w:rsidRPr="00EF437B">
        <w:rPr>
          <w:rFonts w:ascii="Arial" w:hAnsi="Arial" w:cs="Arial"/>
        </w:rPr>
        <w:t xml:space="preserve"> </w:t>
      </w:r>
      <w:r w:rsidRPr="00EF437B">
        <w:rPr>
          <w:rFonts w:ascii="Arial" w:hAnsi="Arial" w:cs="Arial"/>
        </w:rPr>
        <w:t>Fate of New Labour’s Constitutional Reform</w:t>
      </w:r>
      <w:r w:rsidR="00145A04" w:rsidRPr="00EF437B">
        <w:rPr>
          <w:rFonts w:ascii="Arial" w:hAnsi="Arial" w:cs="Arial"/>
        </w:rPr>
        <w:t xml:space="preserve"> </w:t>
      </w:r>
      <w:r w:rsidRPr="00EF437B">
        <w:rPr>
          <w:rFonts w:ascii="Arial" w:hAnsi="Arial" w:cs="Arial"/>
        </w:rPr>
        <w:t>Agenda, British Politics, 2007, 2, (215–238)</w:t>
      </w:r>
    </w:p>
    <w:p w:rsidR="00910DF7" w:rsidRPr="00EF437B" w:rsidRDefault="00910DF7" w:rsidP="005158B5">
      <w:pPr>
        <w:autoSpaceDE w:val="0"/>
        <w:autoSpaceDN w:val="0"/>
        <w:adjustRightInd w:val="0"/>
        <w:spacing w:after="0" w:line="480" w:lineRule="auto"/>
        <w:jc w:val="both"/>
        <w:rPr>
          <w:rFonts w:ascii="Arial" w:hAnsi="Arial" w:cs="Arial"/>
        </w:rPr>
      </w:pPr>
    </w:p>
    <w:p w:rsidR="00711F83" w:rsidRPr="00EF437B" w:rsidRDefault="00711F83" w:rsidP="005158B5">
      <w:pPr>
        <w:spacing w:line="480" w:lineRule="auto"/>
        <w:jc w:val="both"/>
        <w:rPr>
          <w:rFonts w:ascii="Arial" w:hAnsi="Arial" w:cs="Arial"/>
        </w:rPr>
      </w:pPr>
      <w:r w:rsidRPr="00EF437B">
        <w:rPr>
          <w:rFonts w:ascii="Arial" w:hAnsi="Arial" w:cs="Arial"/>
        </w:rPr>
        <w:t>Ma</w:t>
      </w:r>
      <w:r w:rsidR="002D1475" w:rsidRPr="00EF437B">
        <w:rPr>
          <w:rFonts w:ascii="Arial" w:hAnsi="Arial" w:cs="Arial"/>
        </w:rPr>
        <w:t xml:space="preserve">rsh, D. and R.A.W. Rhodes. </w:t>
      </w:r>
      <w:r w:rsidR="00386A22" w:rsidRPr="00EF437B">
        <w:rPr>
          <w:rFonts w:ascii="Arial" w:hAnsi="Arial" w:cs="Arial"/>
        </w:rPr>
        <w:t>(</w:t>
      </w:r>
      <w:r w:rsidR="002D1475" w:rsidRPr="00EF437B">
        <w:rPr>
          <w:rFonts w:ascii="Arial" w:hAnsi="Arial" w:cs="Arial"/>
        </w:rPr>
        <w:t>1992</w:t>
      </w:r>
      <w:r w:rsidR="00386A22" w:rsidRPr="00EF437B">
        <w:rPr>
          <w:rFonts w:ascii="Arial" w:hAnsi="Arial" w:cs="Arial"/>
        </w:rPr>
        <w:t>)</w:t>
      </w:r>
      <w:r w:rsidRPr="00EF437B">
        <w:rPr>
          <w:rFonts w:ascii="Arial" w:hAnsi="Arial" w:cs="Arial"/>
        </w:rPr>
        <w:t xml:space="preserve"> </w:t>
      </w:r>
      <w:r w:rsidRPr="00EF437B">
        <w:rPr>
          <w:rFonts w:ascii="Arial" w:hAnsi="Arial" w:cs="Arial"/>
          <w:i/>
          <w:iCs/>
        </w:rPr>
        <w:t>Policy Networks in British Politics</w:t>
      </w:r>
      <w:r w:rsidRPr="00EF437B">
        <w:rPr>
          <w:rFonts w:ascii="Arial" w:hAnsi="Arial" w:cs="Arial"/>
        </w:rPr>
        <w:t>. Oxford: The Clarendon Press</w:t>
      </w:r>
    </w:p>
    <w:p w:rsidR="00190D8C" w:rsidRPr="00EF437B" w:rsidRDefault="00190D8C" w:rsidP="005158B5">
      <w:pPr>
        <w:autoSpaceDE w:val="0"/>
        <w:autoSpaceDN w:val="0"/>
        <w:adjustRightInd w:val="0"/>
        <w:spacing w:after="0" w:line="480" w:lineRule="auto"/>
        <w:jc w:val="both"/>
        <w:rPr>
          <w:rFonts w:ascii="Arial" w:hAnsi="Arial" w:cs="Arial"/>
        </w:rPr>
      </w:pPr>
      <w:r w:rsidRPr="00EF437B">
        <w:rPr>
          <w:rFonts w:ascii="Arial" w:hAnsi="Arial" w:cs="Arial"/>
        </w:rPr>
        <w:t>Marsh, D., R. Richards and M. Smith. 2003. ‘Unequal Plurality: Towards an Asymmetric Power Model of the British Polity’,</w:t>
      </w:r>
      <w:r w:rsidR="00416BEC" w:rsidRPr="00EF437B">
        <w:rPr>
          <w:rFonts w:ascii="Arial" w:hAnsi="Arial" w:cs="Arial"/>
        </w:rPr>
        <w:t xml:space="preserve"> </w:t>
      </w:r>
      <w:r w:rsidRPr="00EF437B">
        <w:rPr>
          <w:rFonts w:ascii="Arial" w:hAnsi="Arial" w:cs="Arial"/>
          <w:i/>
          <w:iCs/>
        </w:rPr>
        <w:t>Government and Opposition</w:t>
      </w:r>
      <w:r w:rsidRPr="00EF437B">
        <w:rPr>
          <w:rFonts w:ascii="Arial" w:hAnsi="Arial" w:cs="Arial"/>
        </w:rPr>
        <w:t>, 38, 3, 306–32</w:t>
      </w:r>
    </w:p>
    <w:p w:rsidR="009A0ACE" w:rsidRPr="00EF437B" w:rsidRDefault="00FF61FC" w:rsidP="005158B5">
      <w:pPr>
        <w:autoSpaceDE w:val="0"/>
        <w:autoSpaceDN w:val="0"/>
        <w:adjustRightInd w:val="0"/>
        <w:spacing w:after="0" w:line="480" w:lineRule="auto"/>
        <w:jc w:val="both"/>
        <w:rPr>
          <w:rFonts w:ascii="Arial" w:hAnsi="Arial" w:cs="Arial"/>
        </w:rPr>
      </w:pPr>
      <w:r w:rsidRPr="00EF437B">
        <w:rPr>
          <w:rFonts w:ascii="Arial" w:hAnsi="Arial" w:cs="Arial"/>
          <w:lang w:eastAsia="en-GB"/>
        </w:rPr>
        <w:t xml:space="preserve">Marsh, D. (2010) </w:t>
      </w:r>
      <w:r w:rsidR="001452BB" w:rsidRPr="00EF437B">
        <w:rPr>
          <w:rFonts w:ascii="Arial" w:hAnsi="Arial" w:cs="Arial"/>
          <w:lang w:eastAsia="en-GB"/>
        </w:rPr>
        <w:t>‘</w:t>
      </w:r>
      <w:r w:rsidRPr="00EF437B">
        <w:rPr>
          <w:rFonts w:ascii="Arial" w:hAnsi="Arial" w:cs="Arial"/>
          <w:lang w:eastAsia="en-GB"/>
        </w:rPr>
        <w:t>The new orthodoxy: The differentiated polity model</w:t>
      </w:r>
      <w:r w:rsidR="001452BB" w:rsidRPr="00EF437B">
        <w:rPr>
          <w:rFonts w:ascii="Arial" w:hAnsi="Arial" w:cs="Arial"/>
          <w:lang w:eastAsia="en-GB"/>
        </w:rPr>
        <w:t>’</w:t>
      </w:r>
      <w:r w:rsidRPr="00EF437B">
        <w:rPr>
          <w:rFonts w:ascii="Arial" w:hAnsi="Arial" w:cs="Arial"/>
          <w:lang w:eastAsia="en-GB"/>
        </w:rPr>
        <w:t xml:space="preserve">. </w:t>
      </w:r>
      <w:r w:rsidRPr="00EF437B">
        <w:rPr>
          <w:rFonts w:ascii="Arial" w:hAnsi="Arial" w:cs="Arial"/>
          <w:i/>
          <w:lang w:eastAsia="en-GB"/>
        </w:rPr>
        <w:t>Public Administration</w:t>
      </w:r>
      <w:r w:rsidRPr="00EF437B">
        <w:rPr>
          <w:rFonts w:ascii="Arial" w:hAnsi="Arial" w:cs="Arial"/>
          <w:lang w:eastAsia="en-GB"/>
        </w:rPr>
        <w:t xml:space="preserve"> </w:t>
      </w:r>
      <w:r w:rsidR="004058A3" w:rsidRPr="00EF437B">
        <w:rPr>
          <w:rFonts w:ascii="Arial" w:hAnsi="Arial" w:cs="Arial"/>
          <w:lang w:eastAsia="en-GB"/>
        </w:rPr>
        <w:t xml:space="preserve"> </w:t>
      </w:r>
      <w:r w:rsidRPr="00EF437B">
        <w:rPr>
          <w:rFonts w:ascii="Arial" w:hAnsi="Arial" w:cs="Arial"/>
          <w:lang w:eastAsia="en-GB"/>
        </w:rPr>
        <w:t>9(1):</w:t>
      </w:r>
      <w:r w:rsidR="004058A3" w:rsidRPr="00EF437B">
        <w:rPr>
          <w:rFonts w:ascii="Arial" w:hAnsi="Arial" w:cs="Arial"/>
          <w:lang w:eastAsia="en-GB"/>
        </w:rPr>
        <w:t xml:space="preserve"> </w:t>
      </w:r>
      <w:r w:rsidRPr="00EF437B">
        <w:rPr>
          <w:rFonts w:ascii="Arial" w:hAnsi="Arial" w:cs="Arial"/>
          <w:lang w:eastAsia="en-GB"/>
        </w:rPr>
        <w:t>32–48</w:t>
      </w:r>
    </w:p>
    <w:p w:rsidR="00C63BAA" w:rsidRPr="00EF437B" w:rsidRDefault="00C63BAA" w:rsidP="005158B5">
      <w:pPr>
        <w:autoSpaceDE w:val="0"/>
        <w:autoSpaceDN w:val="0"/>
        <w:adjustRightInd w:val="0"/>
        <w:spacing w:after="0" w:line="480" w:lineRule="auto"/>
        <w:jc w:val="both"/>
        <w:rPr>
          <w:rFonts w:ascii="Arial" w:hAnsi="Arial" w:cs="Arial"/>
        </w:rPr>
      </w:pPr>
    </w:p>
    <w:p w:rsidR="00C63BAA" w:rsidRPr="00EF437B" w:rsidRDefault="00C63BAA" w:rsidP="005158B5">
      <w:pPr>
        <w:pStyle w:val="Heading1"/>
        <w:shd w:val="clear" w:color="auto" w:fill="FFFFFF"/>
        <w:spacing w:before="0" w:beforeAutospacing="0" w:after="30" w:afterAutospacing="0" w:line="480" w:lineRule="auto"/>
        <w:jc w:val="both"/>
        <w:rPr>
          <w:rFonts w:ascii="Arial" w:hAnsi="Arial" w:cs="Arial"/>
          <w:b w:val="0"/>
          <w:bCs w:val="0"/>
          <w:sz w:val="22"/>
          <w:szCs w:val="22"/>
          <w:lang w:eastAsia="en-GB"/>
        </w:rPr>
      </w:pPr>
      <w:r w:rsidRPr="00EF437B">
        <w:rPr>
          <w:rFonts w:ascii="Arial" w:hAnsi="Arial" w:cs="Arial"/>
          <w:b w:val="0"/>
          <w:sz w:val="22"/>
          <w:szCs w:val="22"/>
        </w:rPr>
        <w:t>Mason, R. (2014)</w:t>
      </w:r>
      <w:r w:rsidR="00FF61FC" w:rsidRPr="00EF437B">
        <w:rPr>
          <w:rFonts w:ascii="Arial" w:hAnsi="Arial" w:cs="Arial"/>
          <w:b w:val="0"/>
          <w:sz w:val="22"/>
          <w:szCs w:val="22"/>
        </w:rPr>
        <w:t xml:space="preserve">, </w:t>
      </w:r>
      <w:r w:rsidR="00FF61FC" w:rsidRPr="00EF437B">
        <w:rPr>
          <w:rFonts w:ascii="Arial" w:hAnsi="Arial" w:cs="Arial"/>
          <w:b w:val="0"/>
          <w:bCs w:val="0"/>
          <w:sz w:val="22"/>
          <w:szCs w:val="22"/>
          <w:lang w:eastAsia="en-GB"/>
        </w:rPr>
        <w:t xml:space="preserve">Clegg blocks Cameron's plan for windfarm cap, </w:t>
      </w:r>
      <w:r w:rsidR="00FF61FC" w:rsidRPr="00EF437B">
        <w:rPr>
          <w:rFonts w:ascii="Arial" w:hAnsi="Arial" w:cs="Arial"/>
          <w:b w:val="0"/>
          <w:bCs w:val="0"/>
          <w:i/>
          <w:sz w:val="22"/>
          <w:szCs w:val="22"/>
          <w:lang w:eastAsia="en-GB"/>
        </w:rPr>
        <w:t>Guardian</w:t>
      </w:r>
      <w:r w:rsidR="00FF61FC" w:rsidRPr="00EF437B">
        <w:rPr>
          <w:rFonts w:ascii="Arial" w:hAnsi="Arial" w:cs="Arial"/>
          <w:b w:val="0"/>
          <w:bCs w:val="0"/>
          <w:sz w:val="22"/>
          <w:szCs w:val="22"/>
          <w:lang w:eastAsia="en-GB"/>
        </w:rPr>
        <w:t xml:space="preserve">, 1/04/2014, </w:t>
      </w:r>
    </w:p>
    <w:p w:rsidR="00C63BAA" w:rsidRPr="00EF437B" w:rsidRDefault="00C63BAA" w:rsidP="005158B5">
      <w:pPr>
        <w:autoSpaceDE w:val="0"/>
        <w:autoSpaceDN w:val="0"/>
        <w:adjustRightInd w:val="0"/>
        <w:spacing w:after="0" w:line="480" w:lineRule="auto"/>
        <w:jc w:val="both"/>
        <w:rPr>
          <w:rFonts w:ascii="Arial" w:hAnsi="Arial" w:cs="Arial"/>
        </w:rPr>
      </w:pPr>
      <w:r w:rsidRPr="00EF437B">
        <w:rPr>
          <w:rFonts w:ascii="Arial" w:hAnsi="Arial" w:cs="Arial"/>
        </w:rPr>
        <w:t>http://www.theguardian.com/environment/2014/apr/01/clegg-blocks-cameron-plan-windfarm-cap</w:t>
      </w:r>
    </w:p>
    <w:p w:rsidR="00910DF7" w:rsidRPr="00EF437B" w:rsidRDefault="00910DF7" w:rsidP="005158B5">
      <w:pPr>
        <w:autoSpaceDE w:val="0"/>
        <w:autoSpaceDN w:val="0"/>
        <w:adjustRightInd w:val="0"/>
        <w:spacing w:after="0" w:line="480" w:lineRule="auto"/>
        <w:jc w:val="both"/>
        <w:rPr>
          <w:rFonts w:ascii="Arial" w:hAnsi="Arial" w:cs="Arial"/>
        </w:rPr>
      </w:pPr>
    </w:p>
    <w:p w:rsidR="001D6831" w:rsidRPr="00EF437B" w:rsidRDefault="001D6831" w:rsidP="005158B5">
      <w:pPr>
        <w:spacing w:line="480" w:lineRule="auto"/>
        <w:jc w:val="both"/>
        <w:rPr>
          <w:rFonts w:ascii="Arial" w:hAnsi="Arial" w:cs="Arial"/>
        </w:rPr>
      </w:pPr>
      <w:r w:rsidRPr="00EF437B">
        <w:rPr>
          <w:rFonts w:ascii="Arial" w:hAnsi="Arial" w:cs="Arial"/>
        </w:rPr>
        <w:t xml:space="preserve">Meyer, N., (2004) Renewable energy policy in Denmark, </w:t>
      </w:r>
      <w:r w:rsidRPr="00EF437B">
        <w:rPr>
          <w:rFonts w:ascii="Arial" w:hAnsi="Arial" w:cs="Arial"/>
          <w:i/>
        </w:rPr>
        <w:t>Ene</w:t>
      </w:r>
      <w:r w:rsidR="00910DF7" w:rsidRPr="00EF437B">
        <w:rPr>
          <w:rFonts w:ascii="Arial" w:hAnsi="Arial" w:cs="Arial"/>
          <w:i/>
        </w:rPr>
        <w:t>rgy for Sustainable Development</w:t>
      </w:r>
      <w:r w:rsidR="00910DF7" w:rsidRPr="00EF437B">
        <w:rPr>
          <w:rFonts w:ascii="Arial" w:hAnsi="Arial" w:cs="Arial"/>
        </w:rPr>
        <w:t xml:space="preserve">, </w:t>
      </w:r>
      <w:r w:rsidRPr="00EF437B">
        <w:rPr>
          <w:rFonts w:ascii="Arial" w:hAnsi="Arial" w:cs="Arial"/>
        </w:rPr>
        <w:t>Volume VIII No. 1, 24-35</w:t>
      </w:r>
    </w:p>
    <w:p w:rsidR="001800CA" w:rsidRPr="00EF437B" w:rsidRDefault="001800CA" w:rsidP="005158B5">
      <w:pPr>
        <w:autoSpaceDE w:val="0"/>
        <w:autoSpaceDN w:val="0"/>
        <w:adjustRightInd w:val="0"/>
        <w:spacing w:line="480" w:lineRule="auto"/>
        <w:jc w:val="both"/>
        <w:rPr>
          <w:rFonts w:ascii="Arial" w:hAnsi="Arial" w:cs="Arial"/>
          <w:lang w:eastAsia="en-GB"/>
        </w:rPr>
      </w:pPr>
      <w:r w:rsidRPr="00EF437B">
        <w:rPr>
          <w:rFonts w:ascii="Arial" w:hAnsi="Arial" w:cs="Arial"/>
          <w:bCs/>
        </w:rPr>
        <w:t xml:space="preserve">Mitchell, C. and P. Connor. </w:t>
      </w:r>
      <w:r w:rsidR="00386A22" w:rsidRPr="00EF437B">
        <w:rPr>
          <w:rFonts w:ascii="Arial" w:hAnsi="Arial" w:cs="Arial"/>
          <w:bCs/>
        </w:rPr>
        <w:t>(</w:t>
      </w:r>
      <w:r w:rsidRPr="00EF437B">
        <w:rPr>
          <w:rFonts w:ascii="Arial" w:hAnsi="Arial" w:cs="Arial"/>
          <w:bCs/>
        </w:rPr>
        <w:t>2004</w:t>
      </w:r>
      <w:r w:rsidR="00386A22" w:rsidRPr="00EF437B">
        <w:rPr>
          <w:rFonts w:ascii="Arial" w:hAnsi="Arial" w:cs="Arial"/>
          <w:bCs/>
        </w:rPr>
        <w:t>)</w:t>
      </w:r>
      <w:r w:rsidRPr="00EF437B">
        <w:rPr>
          <w:rFonts w:ascii="Arial" w:hAnsi="Arial" w:cs="Arial"/>
          <w:bCs/>
        </w:rPr>
        <w:t xml:space="preserve"> </w:t>
      </w:r>
      <w:r w:rsidR="001452BB" w:rsidRPr="00EF437B">
        <w:rPr>
          <w:rFonts w:ascii="Arial" w:hAnsi="Arial" w:cs="Arial"/>
          <w:bCs/>
        </w:rPr>
        <w:t xml:space="preserve"> </w:t>
      </w:r>
      <w:r w:rsidRPr="00EF437B">
        <w:rPr>
          <w:rFonts w:ascii="Arial" w:hAnsi="Arial" w:cs="Arial"/>
          <w:lang w:eastAsia="en-GB"/>
        </w:rPr>
        <w:t xml:space="preserve">Renewable energy policy in the UK 1990–2003, </w:t>
      </w:r>
      <w:r w:rsidRPr="00EF437B">
        <w:rPr>
          <w:rFonts w:ascii="Arial" w:hAnsi="Arial" w:cs="Arial"/>
          <w:i/>
          <w:lang w:eastAsia="en-GB"/>
        </w:rPr>
        <w:t>Energy Policy</w:t>
      </w:r>
      <w:r w:rsidRPr="00EF437B">
        <w:rPr>
          <w:rFonts w:ascii="Arial" w:hAnsi="Arial" w:cs="Arial"/>
          <w:lang w:eastAsia="en-GB"/>
        </w:rPr>
        <w:t xml:space="preserve"> 32, 17, 1935–1947.</w:t>
      </w:r>
    </w:p>
    <w:p w:rsidR="009A0ACE" w:rsidRPr="00EF437B" w:rsidRDefault="00212DD7" w:rsidP="005158B5">
      <w:pPr>
        <w:shd w:val="clear" w:color="auto" w:fill="FFFFFF"/>
        <w:spacing w:line="480" w:lineRule="auto"/>
        <w:jc w:val="both"/>
        <w:rPr>
          <w:rFonts w:ascii="Arial" w:hAnsi="Arial" w:cs="Arial"/>
          <w:bCs/>
        </w:rPr>
      </w:pPr>
      <w:r w:rsidRPr="00EF437B">
        <w:rPr>
          <w:rFonts w:ascii="Arial" w:hAnsi="Arial" w:cs="Arial"/>
          <w:bCs/>
        </w:rPr>
        <w:t xml:space="preserve">Nielsen, H.Ø. &amp; A. B. Pedersen (2013). Hvordankanstatenfremme innovation, der førertilbæredygtigeenergisystemer. Forskelligeteoretiske approaches. </w:t>
      </w:r>
      <w:r w:rsidRPr="00EF437B">
        <w:rPr>
          <w:rFonts w:ascii="Arial" w:hAnsi="Arial" w:cs="Arial"/>
          <w:bCs/>
          <w:i/>
        </w:rPr>
        <w:t>Politica</w:t>
      </w:r>
      <w:r w:rsidRPr="00EF437B">
        <w:rPr>
          <w:rFonts w:ascii="Arial" w:hAnsi="Arial" w:cs="Arial"/>
          <w:bCs/>
        </w:rPr>
        <w:t xml:space="preserve">45 2013 (3) p. </w:t>
      </w:r>
    </w:p>
    <w:p w:rsidR="009A0ACE" w:rsidRPr="00EF437B" w:rsidRDefault="009A0ACE" w:rsidP="005158B5">
      <w:pPr>
        <w:shd w:val="clear" w:color="auto" w:fill="FFFFFF"/>
        <w:spacing w:line="480" w:lineRule="auto"/>
        <w:jc w:val="both"/>
        <w:rPr>
          <w:rFonts w:ascii="Arial" w:hAnsi="Arial" w:cs="Arial"/>
          <w:bCs/>
        </w:rPr>
      </w:pPr>
    </w:p>
    <w:p w:rsidR="00F551AA" w:rsidRPr="00EF437B" w:rsidRDefault="00F551AA" w:rsidP="005158B5">
      <w:pPr>
        <w:autoSpaceDE w:val="0"/>
        <w:autoSpaceDN w:val="0"/>
        <w:adjustRightInd w:val="0"/>
        <w:spacing w:line="480" w:lineRule="auto"/>
        <w:jc w:val="both"/>
        <w:rPr>
          <w:rFonts w:ascii="Arial" w:hAnsi="Arial" w:cs="Arial"/>
          <w:bCs/>
        </w:rPr>
      </w:pPr>
      <w:r w:rsidRPr="00410D8E">
        <w:rPr>
          <w:rFonts w:ascii="Arial" w:hAnsi="Arial" w:cs="Arial"/>
          <w:bCs/>
        </w:rPr>
        <w:t>Politiken</w:t>
      </w:r>
      <w:r w:rsidRPr="00EF437B">
        <w:rPr>
          <w:rFonts w:ascii="Arial" w:hAnsi="Arial" w:cs="Arial"/>
          <w:bCs/>
        </w:rPr>
        <w:t xml:space="preserve"> (2007). Oppositionen presser på for flerevindmøller.http://politiken.dk/indland/ECE325134/oppositionen-presser-paa-for-flere-vindmoeller/ </w:t>
      </w:r>
    </w:p>
    <w:p w:rsidR="00F551AA" w:rsidRPr="00EF437B" w:rsidRDefault="00F551AA" w:rsidP="005158B5">
      <w:pPr>
        <w:autoSpaceDE w:val="0"/>
        <w:autoSpaceDN w:val="0"/>
        <w:adjustRightInd w:val="0"/>
        <w:spacing w:line="480" w:lineRule="auto"/>
        <w:jc w:val="both"/>
        <w:rPr>
          <w:rFonts w:ascii="Arial" w:hAnsi="Arial" w:cs="Arial"/>
          <w:bCs/>
        </w:rPr>
      </w:pPr>
      <w:r w:rsidRPr="00410D8E">
        <w:rPr>
          <w:rFonts w:ascii="Arial" w:hAnsi="Arial" w:cs="Arial"/>
          <w:bCs/>
        </w:rPr>
        <w:t>Politiken</w:t>
      </w:r>
      <w:r w:rsidRPr="00EF437B">
        <w:rPr>
          <w:rFonts w:ascii="Arial" w:hAnsi="Arial" w:cs="Arial"/>
          <w:bCs/>
        </w:rPr>
        <w:t xml:space="preserve"> (2012) Lidegaardbøjer sig for solcellekritik.  p. 7. </w:t>
      </w:r>
    </w:p>
    <w:p w:rsidR="00F551AA" w:rsidRPr="00EF437B" w:rsidRDefault="00F551AA" w:rsidP="005158B5">
      <w:pPr>
        <w:autoSpaceDE w:val="0"/>
        <w:autoSpaceDN w:val="0"/>
        <w:adjustRightInd w:val="0"/>
        <w:spacing w:after="0" w:line="480" w:lineRule="auto"/>
        <w:jc w:val="both"/>
        <w:rPr>
          <w:rFonts w:ascii="Arial" w:hAnsi="Arial" w:cs="Arial"/>
          <w:lang w:val="da-DK"/>
        </w:rPr>
      </w:pPr>
      <w:r w:rsidRPr="00EF437B">
        <w:rPr>
          <w:rFonts w:ascii="Arial" w:hAnsi="Arial" w:cs="Arial"/>
          <w:lang w:val="da-DK"/>
        </w:rPr>
        <w:t xml:space="preserve">Weekendavisen 30th March 2012. Grøn og dyr. Main section p. 5, </w:t>
      </w:r>
      <w:r w:rsidRPr="00EF437B">
        <w:rPr>
          <w:rFonts w:ascii="Arial" w:hAnsi="Arial" w:cs="Arial"/>
          <w:bCs/>
        </w:rPr>
        <w:t>16</w:t>
      </w:r>
      <w:r w:rsidRPr="00EF437B">
        <w:rPr>
          <w:rFonts w:ascii="Arial" w:hAnsi="Arial" w:cs="Arial"/>
          <w:bCs/>
          <w:vertAlign w:val="superscript"/>
        </w:rPr>
        <w:t>th</w:t>
      </w:r>
      <w:r w:rsidRPr="00EF437B">
        <w:rPr>
          <w:rFonts w:ascii="Arial" w:hAnsi="Arial" w:cs="Arial"/>
          <w:bCs/>
        </w:rPr>
        <w:t xml:space="preserve"> November</w:t>
      </w:r>
    </w:p>
    <w:p w:rsidR="009A0ACE" w:rsidRPr="00EF437B" w:rsidRDefault="009A0ACE" w:rsidP="005158B5">
      <w:pPr>
        <w:shd w:val="clear" w:color="auto" w:fill="FFFFFF"/>
        <w:spacing w:line="480" w:lineRule="auto"/>
        <w:jc w:val="both"/>
        <w:rPr>
          <w:rFonts w:ascii="Arial" w:hAnsi="Arial" w:cs="Arial"/>
          <w:bCs/>
        </w:rPr>
      </w:pPr>
    </w:p>
    <w:p w:rsidR="005D272D" w:rsidRPr="00EF437B" w:rsidRDefault="005D272D" w:rsidP="005158B5">
      <w:pPr>
        <w:autoSpaceDE w:val="0"/>
        <w:autoSpaceDN w:val="0"/>
        <w:adjustRightInd w:val="0"/>
        <w:spacing w:line="480" w:lineRule="auto"/>
        <w:jc w:val="both"/>
        <w:rPr>
          <w:rFonts w:ascii="Arial" w:hAnsi="Arial" w:cs="Arial"/>
          <w:bCs/>
        </w:rPr>
      </w:pPr>
      <w:r w:rsidRPr="00EF437B">
        <w:rPr>
          <w:rFonts w:ascii="Arial" w:hAnsi="Arial" w:cs="Arial"/>
          <w:bCs/>
        </w:rPr>
        <w:t>P</w:t>
      </w:r>
      <w:r w:rsidR="004F5578" w:rsidRPr="00EF437B">
        <w:rPr>
          <w:rFonts w:ascii="Arial" w:hAnsi="Arial" w:cs="Arial"/>
          <w:bCs/>
        </w:rPr>
        <w:t>r</w:t>
      </w:r>
      <w:r w:rsidRPr="00EF437B">
        <w:rPr>
          <w:rFonts w:ascii="Arial" w:hAnsi="Arial" w:cs="Arial"/>
          <w:bCs/>
        </w:rPr>
        <w:t xml:space="preserve">ichard, J., Chazan, G., (2012) Treasury pushes for windpower subsidy cut, </w:t>
      </w:r>
      <w:r w:rsidRPr="00EF437B">
        <w:rPr>
          <w:rFonts w:ascii="Arial" w:hAnsi="Arial" w:cs="Arial"/>
          <w:bCs/>
          <w:i/>
        </w:rPr>
        <w:t>Financial Times</w:t>
      </w:r>
      <w:r w:rsidRPr="00EF437B">
        <w:rPr>
          <w:rFonts w:ascii="Arial" w:hAnsi="Arial" w:cs="Arial"/>
          <w:bCs/>
        </w:rPr>
        <w:t>, June 3</w:t>
      </w:r>
      <w:r w:rsidRPr="00EF437B">
        <w:rPr>
          <w:rFonts w:ascii="Arial" w:hAnsi="Arial" w:cs="Arial"/>
          <w:bCs/>
          <w:vertAlign w:val="superscript"/>
        </w:rPr>
        <w:t>rd</w:t>
      </w:r>
      <w:r w:rsidRPr="00EF437B">
        <w:rPr>
          <w:rFonts w:ascii="Arial" w:hAnsi="Arial" w:cs="Arial"/>
          <w:bCs/>
        </w:rPr>
        <w:t xml:space="preserve">, </w:t>
      </w:r>
      <w:hyperlink r:id="rId26" w:anchor="ixzz2xIXQAKlV" w:history="1">
        <w:r w:rsidR="004F5578" w:rsidRPr="00EF437B">
          <w:rPr>
            <w:rStyle w:val="Hyperlink"/>
            <w:rFonts w:ascii="Arial" w:hAnsi="Arial" w:cs="Arial"/>
            <w:bCs/>
          </w:rPr>
          <w:t>http://www.ft.com/cms/s/c3e36312-ad84-11e1-97f3-00144feabdc0,Authorised=false.html?_i_location=http%3A%2F%2Fwww.ft.com%2Fcms%2Fs%2F0%2Fc3e36312-ad84-11e1-97f3-00144feabdc0.html%3Fsiteedition%3Duk&amp;siteedition=uk&amp;_i_referer=#ixzz2xIXQAKlV</w:t>
        </w:r>
      </w:hyperlink>
    </w:p>
    <w:p w:rsidR="004F5578" w:rsidRPr="00EF437B" w:rsidRDefault="004F5578" w:rsidP="005158B5">
      <w:pPr>
        <w:autoSpaceDE w:val="0"/>
        <w:autoSpaceDN w:val="0"/>
        <w:adjustRightInd w:val="0"/>
        <w:spacing w:line="480" w:lineRule="auto"/>
        <w:jc w:val="both"/>
        <w:rPr>
          <w:rFonts w:ascii="Arial" w:hAnsi="Arial" w:cs="Arial"/>
          <w:bCs/>
        </w:rPr>
      </w:pPr>
    </w:p>
    <w:p w:rsidR="004F5578" w:rsidRPr="00EF437B" w:rsidRDefault="004F5578" w:rsidP="005158B5">
      <w:pPr>
        <w:autoSpaceDE w:val="0"/>
        <w:autoSpaceDN w:val="0"/>
        <w:adjustRightInd w:val="0"/>
        <w:spacing w:after="0" w:line="480" w:lineRule="auto"/>
        <w:jc w:val="both"/>
        <w:rPr>
          <w:rFonts w:ascii="Arial" w:hAnsi="Arial" w:cs="Arial"/>
          <w:lang w:val="da-DK"/>
        </w:rPr>
      </w:pPr>
      <w:r w:rsidRPr="00EF437B">
        <w:rPr>
          <w:rFonts w:ascii="Arial" w:hAnsi="Arial" w:cs="Arial"/>
          <w:lang w:val="da-DK"/>
        </w:rPr>
        <w:t xml:space="preserve">Regeringen (2007). </w:t>
      </w:r>
      <w:r w:rsidRPr="00EF437B">
        <w:rPr>
          <w:rFonts w:ascii="Arial" w:hAnsi="Arial" w:cs="Arial"/>
          <w:i/>
          <w:lang w:val="da-DK"/>
        </w:rPr>
        <w:t>Mulighedernes samfund</w:t>
      </w:r>
      <w:r w:rsidRPr="00EF437B">
        <w:rPr>
          <w:rFonts w:ascii="Arial" w:hAnsi="Arial" w:cs="Arial"/>
          <w:lang w:val="da-DK"/>
        </w:rPr>
        <w:t xml:space="preserve">. Regeringsgrundlag. November 2007 VK-regeringen III. In English: A society of possibilities. Government Programme. </w:t>
      </w:r>
    </w:p>
    <w:p w:rsidR="00B87364" w:rsidRPr="00EF437B" w:rsidRDefault="00B87364" w:rsidP="005158B5">
      <w:pPr>
        <w:autoSpaceDE w:val="0"/>
        <w:autoSpaceDN w:val="0"/>
        <w:adjustRightInd w:val="0"/>
        <w:spacing w:after="0" w:line="480" w:lineRule="auto"/>
        <w:jc w:val="both"/>
        <w:rPr>
          <w:rFonts w:ascii="Arial" w:hAnsi="Arial" w:cs="Arial"/>
          <w:lang w:val="da-DK"/>
        </w:rPr>
      </w:pPr>
    </w:p>
    <w:p w:rsidR="00B87364" w:rsidRPr="00EF437B" w:rsidRDefault="00B87364" w:rsidP="005158B5">
      <w:pPr>
        <w:autoSpaceDE w:val="0"/>
        <w:autoSpaceDN w:val="0"/>
        <w:adjustRightInd w:val="0"/>
        <w:spacing w:after="0" w:line="480" w:lineRule="auto"/>
        <w:jc w:val="both"/>
        <w:rPr>
          <w:rFonts w:ascii="Arial" w:hAnsi="Arial" w:cs="Arial"/>
        </w:rPr>
      </w:pPr>
      <w:r w:rsidRPr="00EF437B">
        <w:rPr>
          <w:rFonts w:ascii="Arial" w:hAnsi="Arial" w:cs="Arial"/>
        </w:rPr>
        <w:t>Retsinformation.Dk</w:t>
      </w:r>
      <w:r w:rsidRPr="00EF437B">
        <w:rPr>
          <w:rFonts w:ascii="Arial" w:hAnsi="Arial" w:cs="Arial"/>
          <w:i/>
        </w:rPr>
        <w:t>,</w:t>
      </w:r>
      <w:r w:rsidR="00DD60A6" w:rsidRPr="00EF437B">
        <w:rPr>
          <w:rFonts w:ascii="Arial" w:hAnsi="Arial" w:cs="Arial"/>
          <w:i/>
        </w:rPr>
        <w:t xml:space="preserve"> (2008) </w:t>
      </w:r>
      <w:r w:rsidRPr="00EF437B">
        <w:rPr>
          <w:rFonts w:ascii="Arial" w:hAnsi="Arial" w:cs="Arial"/>
          <w:i/>
        </w:rPr>
        <w:t xml:space="preserve"> Act no.1392 of 27</w:t>
      </w:r>
      <w:r w:rsidRPr="00EF437B">
        <w:rPr>
          <w:rFonts w:ascii="Arial" w:hAnsi="Arial" w:cs="Arial"/>
          <w:i/>
          <w:vertAlign w:val="superscript"/>
        </w:rPr>
        <w:t>th</w:t>
      </w:r>
      <w:r w:rsidRPr="00EF437B">
        <w:rPr>
          <w:rFonts w:ascii="Arial" w:hAnsi="Arial" w:cs="Arial"/>
          <w:i/>
        </w:rPr>
        <w:t xml:space="preserve"> December 2008 on promotion of renewable energy</w:t>
      </w:r>
      <w:r w:rsidRPr="00EF437B">
        <w:rPr>
          <w:rFonts w:ascii="Arial" w:hAnsi="Arial" w:cs="Arial"/>
        </w:rPr>
        <w:t xml:space="preserve"> [no longer in force]. Downloaded on March 20 2014 from :</w:t>
      </w:r>
      <w:hyperlink r:id="rId27" w:history="1">
        <w:r w:rsidRPr="00EF437B">
          <w:rPr>
            <w:rStyle w:val="Hyperlink"/>
            <w:rFonts w:ascii="Arial" w:hAnsi="Arial" w:cs="Arial"/>
          </w:rPr>
          <w:t>https://www.retsinformation.dk/Forms/R0710.aspx?id=122961</w:t>
        </w:r>
      </w:hyperlink>
    </w:p>
    <w:p w:rsidR="004F5578" w:rsidRPr="00EF437B" w:rsidRDefault="004F5578" w:rsidP="005158B5">
      <w:pPr>
        <w:autoSpaceDE w:val="0"/>
        <w:autoSpaceDN w:val="0"/>
        <w:adjustRightInd w:val="0"/>
        <w:spacing w:line="480" w:lineRule="auto"/>
        <w:jc w:val="both"/>
        <w:rPr>
          <w:rFonts w:ascii="Arial" w:hAnsi="Arial" w:cs="Arial"/>
          <w:bCs/>
        </w:rPr>
      </w:pPr>
    </w:p>
    <w:p w:rsidR="009F0BC2" w:rsidRPr="00EF437B" w:rsidRDefault="009F0BC2" w:rsidP="005158B5">
      <w:pPr>
        <w:autoSpaceDE w:val="0"/>
        <w:autoSpaceDN w:val="0"/>
        <w:adjustRightInd w:val="0"/>
        <w:spacing w:after="0" w:line="480" w:lineRule="auto"/>
        <w:jc w:val="both"/>
        <w:rPr>
          <w:rFonts w:ascii="Arial" w:hAnsi="Arial" w:cs="Arial"/>
        </w:rPr>
      </w:pPr>
      <w:r w:rsidRPr="00EF437B">
        <w:rPr>
          <w:rFonts w:ascii="Arial" w:hAnsi="Arial" w:cs="Arial"/>
        </w:rPr>
        <w:t xml:space="preserve">Richardson, J. and Jordan, G. (1979) </w:t>
      </w:r>
      <w:r w:rsidRPr="00EF437B">
        <w:rPr>
          <w:rFonts w:ascii="Arial" w:hAnsi="Arial" w:cs="Arial"/>
          <w:i/>
        </w:rPr>
        <w:t>Governing Under Pressure: The Policy Process in a Post-Parliamentary Democracy</w:t>
      </w:r>
      <w:r w:rsidRPr="00EF437B">
        <w:rPr>
          <w:rFonts w:ascii="Arial" w:hAnsi="Arial" w:cs="Arial"/>
        </w:rPr>
        <w:t>. Oxford: Robertson</w:t>
      </w:r>
    </w:p>
    <w:p w:rsidR="00FD655D" w:rsidRPr="00EF437B" w:rsidRDefault="00FD655D" w:rsidP="005158B5">
      <w:pPr>
        <w:autoSpaceDE w:val="0"/>
        <w:autoSpaceDN w:val="0"/>
        <w:adjustRightInd w:val="0"/>
        <w:spacing w:after="0" w:line="480" w:lineRule="auto"/>
        <w:jc w:val="both"/>
        <w:rPr>
          <w:rFonts w:ascii="Arial" w:hAnsi="Arial" w:cs="Arial"/>
        </w:rPr>
      </w:pPr>
    </w:p>
    <w:p w:rsidR="00FD655D" w:rsidRPr="00EF437B" w:rsidRDefault="00FD655D" w:rsidP="005158B5">
      <w:pPr>
        <w:autoSpaceDE w:val="0"/>
        <w:autoSpaceDN w:val="0"/>
        <w:adjustRightInd w:val="0"/>
        <w:spacing w:after="0" w:line="480" w:lineRule="auto"/>
        <w:jc w:val="both"/>
        <w:rPr>
          <w:rFonts w:ascii="Arial" w:hAnsi="Arial" w:cs="Arial"/>
        </w:rPr>
      </w:pPr>
      <w:r w:rsidRPr="00EF437B">
        <w:rPr>
          <w:rFonts w:ascii="Arial" w:hAnsi="Arial" w:cs="Arial"/>
        </w:rPr>
        <w:t>Richardson, J. Gustafson, G. and Jordan, G. (1982) The concept of policy style. In:</w:t>
      </w:r>
    </w:p>
    <w:p w:rsidR="00FD655D" w:rsidRPr="00EF437B" w:rsidRDefault="00FD655D" w:rsidP="005158B5">
      <w:pPr>
        <w:autoSpaceDE w:val="0"/>
        <w:autoSpaceDN w:val="0"/>
        <w:adjustRightInd w:val="0"/>
        <w:spacing w:after="0" w:line="480" w:lineRule="auto"/>
        <w:jc w:val="both"/>
        <w:rPr>
          <w:rFonts w:ascii="Arial" w:hAnsi="Arial" w:cs="Arial"/>
        </w:rPr>
      </w:pPr>
      <w:r w:rsidRPr="00EF437B">
        <w:rPr>
          <w:rFonts w:ascii="Arial" w:hAnsi="Arial" w:cs="Arial"/>
        </w:rPr>
        <w:t xml:space="preserve">J.J. Richardson (ed.) </w:t>
      </w:r>
      <w:r w:rsidRPr="00EF437B">
        <w:rPr>
          <w:rFonts w:ascii="Arial" w:hAnsi="Arial" w:cs="Arial"/>
          <w:i/>
        </w:rPr>
        <w:t>Policy Styles in Western Europe</w:t>
      </w:r>
      <w:r w:rsidRPr="00EF437B">
        <w:rPr>
          <w:rFonts w:ascii="Arial" w:hAnsi="Arial" w:cs="Arial"/>
        </w:rPr>
        <w:t>. London: Allen &amp;</w:t>
      </w:r>
      <w:r w:rsidR="009B1D3A" w:rsidRPr="00EF437B">
        <w:rPr>
          <w:rFonts w:ascii="Arial" w:hAnsi="Arial" w:cs="Arial"/>
        </w:rPr>
        <w:t xml:space="preserve"> </w:t>
      </w:r>
      <w:r w:rsidRPr="00EF437B">
        <w:rPr>
          <w:rFonts w:ascii="Arial" w:hAnsi="Arial" w:cs="Arial"/>
        </w:rPr>
        <w:t>Unwin</w:t>
      </w:r>
      <w:r w:rsidR="00880A11" w:rsidRPr="00EF437B">
        <w:rPr>
          <w:rFonts w:ascii="Arial" w:hAnsi="Arial" w:cs="Arial"/>
        </w:rPr>
        <w:t>, 1-16</w:t>
      </w:r>
    </w:p>
    <w:p w:rsidR="001748D6" w:rsidRPr="00EF437B" w:rsidRDefault="001748D6" w:rsidP="005158B5">
      <w:pPr>
        <w:autoSpaceDE w:val="0"/>
        <w:autoSpaceDN w:val="0"/>
        <w:adjustRightInd w:val="0"/>
        <w:spacing w:after="0" w:line="480" w:lineRule="auto"/>
        <w:jc w:val="both"/>
        <w:rPr>
          <w:rFonts w:ascii="Arial" w:hAnsi="Arial" w:cs="Arial"/>
        </w:rPr>
      </w:pPr>
    </w:p>
    <w:p w:rsidR="001748D6" w:rsidRPr="00EF437B" w:rsidRDefault="001748D6" w:rsidP="005158B5">
      <w:pPr>
        <w:autoSpaceDE w:val="0"/>
        <w:autoSpaceDN w:val="0"/>
        <w:adjustRightInd w:val="0"/>
        <w:spacing w:after="0" w:line="480" w:lineRule="auto"/>
        <w:jc w:val="both"/>
        <w:rPr>
          <w:rFonts w:ascii="Arial" w:hAnsi="Arial" w:cs="Arial"/>
        </w:rPr>
      </w:pPr>
      <w:r w:rsidRPr="00EF437B">
        <w:rPr>
          <w:rFonts w:ascii="Arial" w:hAnsi="Arial" w:cs="Arial"/>
        </w:rPr>
        <w:t xml:space="preserve">Ryland, E., (2010) Danish wind power policy: domestic and international forces, </w:t>
      </w:r>
      <w:r w:rsidRPr="00EF437B">
        <w:rPr>
          <w:rFonts w:ascii="Arial" w:hAnsi="Arial" w:cs="Arial"/>
          <w:i/>
        </w:rPr>
        <w:t>Environmental Politics</w:t>
      </w:r>
      <w:r w:rsidR="00386A22" w:rsidRPr="00EF437B">
        <w:rPr>
          <w:rFonts w:ascii="Arial" w:hAnsi="Arial" w:cs="Arial"/>
          <w:i/>
        </w:rPr>
        <w:t xml:space="preserve"> </w:t>
      </w:r>
      <w:r w:rsidRPr="00EF437B">
        <w:rPr>
          <w:rFonts w:ascii="Arial" w:hAnsi="Arial" w:cs="Arial"/>
        </w:rPr>
        <w:t>Vol. 19, No. 1, February 2010, 80–85</w:t>
      </w:r>
    </w:p>
    <w:p w:rsidR="00313D11" w:rsidRPr="00EF437B" w:rsidRDefault="00313D11" w:rsidP="005158B5">
      <w:pPr>
        <w:autoSpaceDE w:val="0"/>
        <w:autoSpaceDN w:val="0"/>
        <w:adjustRightInd w:val="0"/>
        <w:spacing w:after="0" w:line="480" w:lineRule="auto"/>
        <w:jc w:val="both"/>
        <w:rPr>
          <w:rFonts w:ascii="Arial" w:hAnsi="Arial" w:cs="Arial"/>
        </w:rPr>
      </w:pPr>
    </w:p>
    <w:p w:rsidR="00313D11" w:rsidRPr="00EF437B" w:rsidRDefault="00313D11" w:rsidP="005158B5">
      <w:pPr>
        <w:spacing w:line="480" w:lineRule="auto"/>
        <w:jc w:val="both"/>
        <w:rPr>
          <w:rFonts w:ascii="Arial" w:hAnsi="Arial" w:cs="Arial"/>
        </w:rPr>
      </w:pPr>
      <w:r w:rsidRPr="00EF437B">
        <w:rPr>
          <w:rFonts w:ascii="Arial" w:hAnsi="Arial" w:cs="Arial"/>
        </w:rPr>
        <w:t xml:space="preserve">Scottish Government  (2014), </w:t>
      </w:r>
      <w:r w:rsidRPr="00EF437B">
        <w:rPr>
          <w:rFonts w:ascii="Arial" w:hAnsi="Arial" w:cs="Arial"/>
          <w:i/>
        </w:rPr>
        <w:t>Renewable Energy Planning Statistics – Summary Tables</w:t>
      </w:r>
      <w:r w:rsidRPr="00EF437B">
        <w:rPr>
          <w:rFonts w:ascii="Arial" w:hAnsi="Arial" w:cs="Arial"/>
        </w:rPr>
        <w:t xml:space="preserve"> http://www.scotland.gov.uk/Topics/Statistics/Browse/Business/Energy/planningdata#</w:t>
      </w:r>
    </w:p>
    <w:p w:rsidR="00E57AD5" w:rsidRPr="00EF437B" w:rsidRDefault="00E57AD5" w:rsidP="005158B5">
      <w:pPr>
        <w:autoSpaceDE w:val="0"/>
        <w:autoSpaceDN w:val="0"/>
        <w:adjustRightInd w:val="0"/>
        <w:spacing w:after="0" w:line="480" w:lineRule="auto"/>
        <w:jc w:val="both"/>
        <w:rPr>
          <w:rFonts w:ascii="Arial" w:hAnsi="Arial" w:cs="Arial"/>
        </w:rPr>
      </w:pPr>
    </w:p>
    <w:p w:rsidR="00E57AD5" w:rsidRPr="00EF437B" w:rsidRDefault="00E57AD5" w:rsidP="005158B5">
      <w:pPr>
        <w:autoSpaceDE w:val="0"/>
        <w:autoSpaceDN w:val="0"/>
        <w:adjustRightInd w:val="0"/>
        <w:spacing w:after="0" w:line="480" w:lineRule="auto"/>
        <w:jc w:val="both"/>
        <w:rPr>
          <w:rFonts w:ascii="Arial" w:hAnsi="Arial" w:cs="Arial"/>
        </w:rPr>
      </w:pPr>
      <w:r w:rsidRPr="00EF437B">
        <w:rPr>
          <w:rFonts w:ascii="Arial" w:hAnsi="Arial" w:cs="Arial"/>
        </w:rPr>
        <w:t xml:space="preserve">Toke, D., </w:t>
      </w:r>
      <w:r w:rsidR="00386A22" w:rsidRPr="00EF437B">
        <w:rPr>
          <w:rFonts w:ascii="Arial" w:hAnsi="Arial" w:cs="Arial"/>
        </w:rPr>
        <w:t>(</w:t>
      </w:r>
      <w:r w:rsidRPr="00EF437B">
        <w:rPr>
          <w:rFonts w:ascii="Arial" w:hAnsi="Arial" w:cs="Arial"/>
        </w:rPr>
        <w:t>2002</w:t>
      </w:r>
      <w:r w:rsidR="00386A22" w:rsidRPr="00EF437B">
        <w:rPr>
          <w:rFonts w:ascii="Arial" w:hAnsi="Arial" w:cs="Arial"/>
        </w:rPr>
        <w:t>)</w:t>
      </w:r>
      <w:r w:rsidRPr="00EF437B">
        <w:rPr>
          <w:rFonts w:ascii="Arial" w:hAnsi="Arial" w:cs="Arial"/>
        </w:rPr>
        <w:t xml:space="preserve"> Wind power in UK and Denmark: can rational choice help explain</w:t>
      </w:r>
    </w:p>
    <w:p w:rsidR="00E57AD5" w:rsidRPr="00EF437B" w:rsidRDefault="00E57AD5" w:rsidP="005158B5">
      <w:pPr>
        <w:autoSpaceDE w:val="0"/>
        <w:autoSpaceDN w:val="0"/>
        <w:adjustRightInd w:val="0"/>
        <w:spacing w:after="0" w:line="480" w:lineRule="auto"/>
        <w:jc w:val="both"/>
        <w:rPr>
          <w:rFonts w:ascii="Arial" w:hAnsi="Arial" w:cs="Arial"/>
        </w:rPr>
      </w:pPr>
      <w:r w:rsidRPr="00EF437B">
        <w:rPr>
          <w:rFonts w:ascii="Arial" w:hAnsi="Arial" w:cs="Arial"/>
        </w:rPr>
        <w:t xml:space="preserve">different outcomes? </w:t>
      </w:r>
      <w:r w:rsidRPr="00EF437B">
        <w:rPr>
          <w:rFonts w:ascii="Arial" w:hAnsi="Arial" w:cs="Arial"/>
          <w:i/>
        </w:rPr>
        <w:t>Environmental Politics</w:t>
      </w:r>
      <w:r w:rsidRPr="00EF437B">
        <w:rPr>
          <w:rFonts w:ascii="Arial" w:hAnsi="Arial" w:cs="Arial"/>
        </w:rPr>
        <w:t>, 11 (4), 83–100</w:t>
      </w:r>
    </w:p>
    <w:p w:rsidR="00086FBB" w:rsidRPr="00EF437B" w:rsidRDefault="00086FBB" w:rsidP="005158B5">
      <w:pPr>
        <w:autoSpaceDE w:val="0"/>
        <w:autoSpaceDN w:val="0"/>
        <w:adjustRightInd w:val="0"/>
        <w:spacing w:after="0" w:line="480" w:lineRule="auto"/>
        <w:jc w:val="both"/>
        <w:rPr>
          <w:rFonts w:ascii="Arial" w:hAnsi="Arial" w:cs="Arial"/>
        </w:rPr>
      </w:pPr>
    </w:p>
    <w:p w:rsidR="00086FBB" w:rsidRPr="00EF437B" w:rsidRDefault="00086FBB" w:rsidP="005158B5">
      <w:pPr>
        <w:autoSpaceDE w:val="0"/>
        <w:autoSpaceDN w:val="0"/>
        <w:adjustRightInd w:val="0"/>
        <w:spacing w:after="0" w:line="480" w:lineRule="auto"/>
        <w:jc w:val="both"/>
        <w:rPr>
          <w:rFonts w:ascii="Arial" w:hAnsi="Arial" w:cs="Arial"/>
        </w:rPr>
      </w:pPr>
      <w:r w:rsidRPr="00EF437B">
        <w:rPr>
          <w:rFonts w:ascii="Arial" w:hAnsi="Arial" w:cs="Arial"/>
        </w:rPr>
        <w:t xml:space="preserve">Toke, D., (2005) Explaining wind power planning outcomes, some findings from a study in England and Wales </w:t>
      </w:r>
      <w:r w:rsidRPr="00EF437B">
        <w:rPr>
          <w:rFonts w:ascii="Arial" w:hAnsi="Arial" w:cs="Arial"/>
          <w:i/>
        </w:rPr>
        <w:t>Energy Policy</w:t>
      </w:r>
      <w:r w:rsidRPr="00EF437B">
        <w:rPr>
          <w:rFonts w:ascii="Arial" w:hAnsi="Arial" w:cs="Arial"/>
        </w:rPr>
        <w:t>, Volume 33 Issue 12 August 2005 pp 1527-1539</w:t>
      </w:r>
      <w:r w:rsidRPr="00EF437B">
        <w:rPr>
          <w:rFonts w:ascii="Arial" w:hAnsi="Arial" w:cs="Arial"/>
        </w:rPr>
        <w:br/>
      </w:r>
    </w:p>
    <w:p w:rsidR="00D53799" w:rsidRPr="00EF437B" w:rsidRDefault="005C42FA" w:rsidP="005158B5">
      <w:pPr>
        <w:autoSpaceDE w:val="0"/>
        <w:autoSpaceDN w:val="0"/>
        <w:adjustRightInd w:val="0"/>
        <w:spacing w:after="0" w:line="480" w:lineRule="auto"/>
        <w:jc w:val="both"/>
        <w:rPr>
          <w:rFonts w:ascii="Arial" w:hAnsi="Arial" w:cs="Arial"/>
        </w:rPr>
      </w:pPr>
      <w:r w:rsidRPr="00EF437B">
        <w:rPr>
          <w:rFonts w:ascii="Arial" w:hAnsi="Arial" w:cs="Arial"/>
        </w:rPr>
        <w:t xml:space="preserve">Unsigned (2011) </w:t>
      </w:r>
      <w:r w:rsidRPr="00EF437B">
        <w:rPr>
          <w:rFonts w:ascii="Arial" w:hAnsi="Arial" w:cs="Arial"/>
          <w:i/>
        </w:rPr>
        <w:t>Letter to Caroline Lucas MP on industrial secondments to government</w:t>
      </w:r>
      <w:r w:rsidRPr="00EF437B">
        <w:rPr>
          <w:rFonts w:ascii="Arial" w:hAnsi="Arial" w:cs="Arial"/>
        </w:rPr>
        <w:t>http://www.carolinelucas.com/assets/files/localparties/brighton/pdf/FOI%2011%201037%20-%20Answer%20DECC%20secondments(edited).pdf</w:t>
      </w:r>
    </w:p>
    <w:p w:rsidR="00D53799" w:rsidRPr="00EF437B" w:rsidRDefault="00D53799" w:rsidP="005158B5">
      <w:pPr>
        <w:autoSpaceDE w:val="0"/>
        <w:autoSpaceDN w:val="0"/>
        <w:adjustRightInd w:val="0"/>
        <w:spacing w:after="0" w:line="480" w:lineRule="auto"/>
        <w:jc w:val="both"/>
        <w:rPr>
          <w:rFonts w:ascii="Arial" w:hAnsi="Arial" w:cs="Arial"/>
        </w:rPr>
      </w:pPr>
    </w:p>
    <w:p w:rsidR="003D293D" w:rsidRPr="00EF437B" w:rsidRDefault="003D293D" w:rsidP="005158B5">
      <w:pPr>
        <w:autoSpaceDE w:val="0"/>
        <w:autoSpaceDN w:val="0"/>
        <w:adjustRightInd w:val="0"/>
        <w:spacing w:after="0" w:line="480" w:lineRule="auto"/>
        <w:jc w:val="both"/>
        <w:rPr>
          <w:rFonts w:ascii="Arial" w:hAnsi="Arial" w:cs="Arial"/>
        </w:rPr>
      </w:pPr>
      <w:r w:rsidRPr="00EF437B">
        <w:rPr>
          <w:rFonts w:ascii="Arial" w:hAnsi="Arial" w:cs="Arial"/>
        </w:rPr>
        <w:t>Vaughn, A. Harvey, F</w:t>
      </w:r>
      <w:r w:rsidR="00386A22" w:rsidRPr="00EF437B">
        <w:rPr>
          <w:rFonts w:ascii="Arial" w:hAnsi="Arial" w:cs="Arial"/>
        </w:rPr>
        <w:t>.</w:t>
      </w:r>
      <w:r w:rsidRPr="00EF437B">
        <w:rPr>
          <w:rFonts w:ascii="Arial" w:hAnsi="Arial" w:cs="Arial"/>
        </w:rPr>
        <w:t xml:space="preserve"> Gersman, H</w:t>
      </w:r>
      <w:r w:rsidR="00386A22" w:rsidRPr="00EF437B">
        <w:rPr>
          <w:rFonts w:ascii="Arial" w:hAnsi="Arial" w:cs="Arial"/>
        </w:rPr>
        <w:t>.</w:t>
      </w:r>
      <w:r w:rsidRPr="00EF437B">
        <w:rPr>
          <w:rFonts w:ascii="Arial" w:hAnsi="Arial" w:cs="Arial"/>
        </w:rPr>
        <w:t xml:space="preserve"> (2011), Solar subsidies to be cut by half, </w:t>
      </w:r>
      <w:r w:rsidRPr="00EF437B">
        <w:rPr>
          <w:rFonts w:ascii="Arial" w:hAnsi="Arial" w:cs="Arial"/>
          <w:i/>
        </w:rPr>
        <w:t>Guardian</w:t>
      </w:r>
      <w:r w:rsidRPr="00EF437B">
        <w:rPr>
          <w:rFonts w:ascii="Arial" w:hAnsi="Arial" w:cs="Arial"/>
        </w:rPr>
        <w:t>, 31</w:t>
      </w:r>
      <w:r w:rsidRPr="00EF437B">
        <w:rPr>
          <w:rFonts w:ascii="Arial" w:hAnsi="Arial" w:cs="Arial"/>
          <w:vertAlign w:val="superscript"/>
        </w:rPr>
        <w:t>st</w:t>
      </w:r>
      <w:r w:rsidRPr="00EF437B">
        <w:rPr>
          <w:rFonts w:ascii="Arial" w:hAnsi="Arial" w:cs="Arial"/>
        </w:rPr>
        <w:t xml:space="preserve"> October, </w:t>
      </w:r>
      <w:hyperlink r:id="rId28" w:history="1">
        <w:r w:rsidRPr="00EF437B">
          <w:rPr>
            <w:rStyle w:val="Hyperlink"/>
            <w:rFonts w:ascii="Arial" w:hAnsi="Arial" w:cs="Arial"/>
          </w:rPr>
          <w:t>http://www.theguardian.com/environment/2011/oct/28/solar-subsidies-cut-half</w:t>
        </w:r>
      </w:hyperlink>
    </w:p>
    <w:p w:rsidR="003D293D" w:rsidRPr="00EF437B" w:rsidRDefault="003D293D" w:rsidP="005158B5">
      <w:pPr>
        <w:autoSpaceDE w:val="0"/>
        <w:autoSpaceDN w:val="0"/>
        <w:adjustRightInd w:val="0"/>
        <w:spacing w:after="0" w:line="480" w:lineRule="auto"/>
        <w:jc w:val="both"/>
        <w:rPr>
          <w:rFonts w:ascii="Arial" w:hAnsi="Arial" w:cs="Arial"/>
        </w:rPr>
      </w:pPr>
    </w:p>
    <w:p w:rsidR="00A20FFB" w:rsidRPr="00EF437B" w:rsidRDefault="00047AE9" w:rsidP="005158B5">
      <w:pPr>
        <w:autoSpaceDE w:val="0"/>
        <w:autoSpaceDN w:val="0"/>
        <w:adjustRightInd w:val="0"/>
        <w:spacing w:after="0" w:line="480" w:lineRule="auto"/>
        <w:jc w:val="both"/>
        <w:rPr>
          <w:rFonts w:ascii="Arial" w:hAnsi="Arial" w:cs="Arial"/>
        </w:rPr>
      </w:pPr>
      <w:r w:rsidRPr="00EF437B">
        <w:rPr>
          <w:rFonts w:ascii="Arial" w:hAnsi="Arial" w:cs="Arial"/>
        </w:rPr>
        <w:t xml:space="preserve">Watt, N., (2014) Conservatives to promise ban on new onshore windfarms, </w:t>
      </w:r>
      <w:r w:rsidRPr="00EF437B">
        <w:rPr>
          <w:rFonts w:ascii="Arial" w:hAnsi="Arial" w:cs="Arial"/>
          <w:i/>
        </w:rPr>
        <w:t>Guardian</w:t>
      </w:r>
      <w:r w:rsidRPr="00EF437B">
        <w:rPr>
          <w:rFonts w:ascii="Arial" w:hAnsi="Arial" w:cs="Arial"/>
        </w:rPr>
        <w:t xml:space="preserve"> 04/04/2014, http://www.theguardian.com/environment/2014/apr/04/conservatives-promise-ban-new-onshore-windfarms</w:t>
      </w:r>
    </w:p>
    <w:p w:rsidR="00212DD7" w:rsidRPr="00EF437B" w:rsidRDefault="00212DD7" w:rsidP="005158B5">
      <w:pPr>
        <w:autoSpaceDE w:val="0"/>
        <w:autoSpaceDN w:val="0"/>
        <w:adjustRightInd w:val="0"/>
        <w:spacing w:after="0" w:line="480" w:lineRule="auto"/>
        <w:jc w:val="both"/>
        <w:rPr>
          <w:rFonts w:ascii="Arial" w:hAnsi="Arial" w:cs="Arial"/>
          <w:lang w:val="da-DK"/>
        </w:rPr>
      </w:pPr>
    </w:p>
    <w:p w:rsidR="00212DD7" w:rsidRPr="00EF437B" w:rsidRDefault="00212DD7" w:rsidP="005158B5">
      <w:pPr>
        <w:autoSpaceDE w:val="0"/>
        <w:autoSpaceDN w:val="0"/>
        <w:adjustRightInd w:val="0"/>
        <w:spacing w:after="0" w:line="480" w:lineRule="auto"/>
        <w:jc w:val="both"/>
        <w:rPr>
          <w:rFonts w:ascii="Arial" w:hAnsi="Arial" w:cs="Arial"/>
          <w:lang w:val="da-DK"/>
        </w:rPr>
      </w:pPr>
    </w:p>
    <w:sectPr w:rsidR="00212DD7" w:rsidRPr="00EF437B" w:rsidSect="00F84371">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64" w:rsidRDefault="001C3564" w:rsidP="00E56E61">
      <w:pPr>
        <w:spacing w:after="0" w:line="240" w:lineRule="auto"/>
      </w:pPr>
      <w:r>
        <w:separator/>
      </w:r>
    </w:p>
  </w:endnote>
  <w:endnote w:type="continuationSeparator" w:id="0">
    <w:p w:rsidR="001C3564" w:rsidRDefault="001C3564" w:rsidP="00E5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6F" w:rsidRDefault="00FF61FC">
    <w:pPr>
      <w:pStyle w:val="Footer"/>
    </w:pPr>
    <w:r>
      <w:fldChar w:fldCharType="begin"/>
    </w:r>
    <w:r w:rsidR="00807D6F">
      <w:instrText xml:space="preserve"> PAGE   \* MERGEFORMAT </w:instrText>
    </w:r>
    <w:r>
      <w:fldChar w:fldCharType="separate"/>
    </w:r>
    <w:r w:rsidR="00FA0A41">
      <w:rPr>
        <w:noProof/>
      </w:rPr>
      <w:t>1</w:t>
    </w:r>
    <w:r>
      <w:rPr>
        <w:noProof/>
      </w:rPr>
      <w:fldChar w:fldCharType="end"/>
    </w:r>
  </w:p>
  <w:p w:rsidR="00807D6F" w:rsidRDefault="00807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64" w:rsidRDefault="001C3564" w:rsidP="00E56E61">
      <w:pPr>
        <w:spacing w:after="0" w:line="240" w:lineRule="auto"/>
      </w:pPr>
      <w:r>
        <w:separator/>
      </w:r>
    </w:p>
  </w:footnote>
  <w:footnote w:type="continuationSeparator" w:id="0">
    <w:p w:rsidR="001C3564" w:rsidRDefault="001C3564" w:rsidP="00E56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3075"/>
    <w:multiLevelType w:val="hybridMultilevel"/>
    <w:tmpl w:val="7692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1710A"/>
    <w:multiLevelType w:val="hybridMultilevel"/>
    <w:tmpl w:val="2DCEA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D75F5E"/>
    <w:multiLevelType w:val="hybridMultilevel"/>
    <w:tmpl w:val="18389C4E"/>
    <w:lvl w:ilvl="0" w:tplc="C8FC080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80"/>
    <w:rsid w:val="000061C1"/>
    <w:rsid w:val="0000698B"/>
    <w:rsid w:val="00011925"/>
    <w:rsid w:val="00012575"/>
    <w:rsid w:val="000160EC"/>
    <w:rsid w:val="00016821"/>
    <w:rsid w:val="00021982"/>
    <w:rsid w:val="000340EF"/>
    <w:rsid w:val="000343C7"/>
    <w:rsid w:val="0004015A"/>
    <w:rsid w:val="0004129C"/>
    <w:rsid w:val="00042351"/>
    <w:rsid w:val="0004333E"/>
    <w:rsid w:val="00044E79"/>
    <w:rsid w:val="000467DD"/>
    <w:rsid w:val="00047AE9"/>
    <w:rsid w:val="00050D17"/>
    <w:rsid w:val="00051184"/>
    <w:rsid w:val="00052E25"/>
    <w:rsid w:val="000537C6"/>
    <w:rsid w:val="000543E6"/>
    <w:rsid w:val="00060059"/>
    <w:rsid w:val="00060793"/>
    <w:rsid w:val="00062991"/>
    <w:rsid w:val="000643D0"/>
    <w:rsid w:val="0006738B"/>
    <w:rsid w:val="0007199D"/>
    <w:rsid w:val="0007412B"/>
    <w:rsid w:val="00074C6D"/>
    <w:rsid w:val="000845C4"/>
    <w:rsid w:val="0008595F"/>
    <w:rsid w:val="00085EBE"/>
    <w:rsid w:val="00086FBB"/>
    <w:rsid w:val="000902D8"/>
    <w:rsid w:val="0009102A"/>
    <w:rsid w:val="0009280C"/>
    <w:rsid w:val="00094D7E"/>
    <w:rsid w:val="000A0E43"/>
    <w:rsid w:val="000A1BC8"/>
    <w:rsid w:val="000A1D69"/>
    <w:rsid w:val="000A2F8D"/>
    <w:rsid w:val="000B0B5B"/>
    <w:rsid w:val="000B0DD2"/>
    <w:rsid w:val="000B1523"/>
    <w:rsid w:val="000B186F"/>
    <w:rsid w:val="000B31C8"/>
    <w:rsid w:val="000B41C4"/>
    <w:rsid w:val="000B4765"/>
    <w:rsid w:val="000B4988"/>
    <w:rsid w:val="000B715F"/>
    <w:rsid w:val="000C0100"/>
    <w:rsid w:val="000C12D2"/>
    <w:rsid w:val="000C2B67"/>
    <w:rsid w:val="000D2DB2"/>
    <w:rsid w:val="000D5018"/>
    <w:rsid w:val="000D66B1"/>
    <w:rsid w:val="000D703F"/>
    <w:rsid w:val="000E3118"/>
    <w:rsid w:val="000E5569"/>
    <w:rsid w:val="000E55D1"/>
    <w:rsid w:val="000E589F"/>
    <w:rsid w:val="000F032D"/>
    <w:rsid w:val="000F09F0"/>
    <w:rsid w:val="000F358A"/>
    <w:rsid w:val="000F548F"/>
    <w:rsid w:val="001014CD"/>
    <w:rsid w:val="001066EB"/>
    <w:rsid w:val="001079E6"/>
    <w:rsid w:val="0011129E"/>
    <w:rsid w:val="0011524B"/>
    <w:rsid w:val="00115EA4"/>
    <w:rsid w:val="00124518"/>
    <w:rsid w:val="00132AC0"/>
    <w:rsid w:val="001336A4"/>
    <w:rsid w:val="00140BFA"/>
    <w:rsid w:val="00141661"/>
    <w:rsid w:val="001452BB"/>
    <w:rsid w:val="00145A04"/>
    <w:rsid w:val="001469E3"/>
    <w:rsid w:val="00147C17"/>
    <w:rsid w:val="00150315"/>
    <w:rsid w:val="0015040B"/>
    <w:rsid w:val="001538E3"/>
    <w:rsid w:val="00160257"/>
    <w:rsid w:val="00165B7F"/>
    <w:rsid w:val="00166F33"/>
    <w:rsid w:val="00167764"/>
    <w:rsid w:val="00170243"/>
    <w:rsid w:val="001706E1"/>
    <w:rsid w:val="00171DAC"/>
    <w:rsid w:val="00173B51"/>
    <w:rsid w:val="00173D84"/>
    <w:rsid w:val="001748D6"/>
    <w:rsid w:val="001800CA"/>
    <w:rsid w:val="00181B94"/>
    <w:rsid w:val="00186174"/>
    <w:rsid w:val="00187D4A"/>
    <w:rsid w:val="00190353"/>
    <w:rsid w:val="00190937"/>
    <w:rsid w:val="00190D8C"/>
    <w:rsid w:val="001A00D9"/>
    <w:rsid w:val="001A06B0"/>
    <w:rsid w:val="001A10AA"/>
    <w:rsid w:val="001A1273"/>
    <w:rsid w:val="001A2304"/>
    <w:rsid w:val="001A3058"/>
    <w:rsid w:val="001A4112"/>
    <w:rsid w:val="001A41CA"/>
    <w:rsid w:val="001B12D4"/>
    <w:rsid w:val="001B64DC"/>
    <w:rsid w:val="001B659B"/>
    <w:rsid w:val="001C1BB0"/>
    <w:rsid w:val="001C23F0"/>
    <w:rsid w:val="001C3564"/>
    <w:rsid w:val="001C3C9B"/>
    <w:rsid w:val="001C61DD"/>
    <w:rsid w:val="001C6239"/>
    <w:rsid w:val="001C7165"/>
    <w:rsid w:val="001D516E"/>
    <w:rsid w:val="001D6831"/>
    <w:rsid w:val="001E0596"/>
    <w:rsid w:val="001E23E4"/>
    <w:rsid w:val="001E27BD"/>
    <w:rsid w:val="001F14EB"/>
    <w:rsid w:val="001F3D14"/>
    <w:rsid w:val="001F489B"/>
    <w:rsid w:val="001F75B0"/>
    <w:rsid w:val="001F75B6"/>
    <w:rsid w:val="00200C47"/>
    <w:rsid w:val="002017FE"/>
    <w:rsid w:val="0020181B"/>
    <w:rsid w:val="002027A3"/>
    <w:rsid w:val="0020428E"/>
    <w:rsid w:val="00206203"/>
    <w:rsid w:val="002127DB"/>
    <w:rsid w:val="00212DD7"/>
    <w:rsid w:val="00212E2C"/>
    <w:rsid w:val="0021498E"/>
    <w:rsid w:val="00215243"/>
    <w:rsid w:val="002208FF"/>
    <w:rsid w:val="002216D8"/>
    <w:rsid w:val="00222583"/>
    <w:rsid w:val="002228C1"/>
    <w:rsid w:val="002263D9"/>
    <w:rsid w:val="00231178"/>
    <w:rsid w:val="002323B3"/>
    <w:rsid w:val="0023382A"/>
    <w:rsid w:val="00233CE6"/>
    <w:rsid w:val="00234C91"/>
    <w:rsid w:val="002409EA"/>
    <w:rsid w:val="0024163D"/>
    <w:rsid w:val="002432D8"/>
    <w:rsid w:val="002434B4"/>
    <w:rsid w:val="002445BA"/>
    <w:rsid w:val="00244EB9"/>
    <w:rsid w:val="00251445"/>
    <w:rsid w:val="002516BE"/>
    <w:rsid w:val="002529BA"/>
    <w:rsid w:val="0025386E"/>
    <w:rsid w:val="00256439"/>
    <w:rsid w:val="002620F2"/>
    <w:rsid w:val="002637DD"/>
    <w:rsid w:val="002716A1"/>
    <w:rsid w:val="00273665"/>
    <w:rsid w:val="00277B1B"/>
    <w:rsid w:val="00282B6A"/>
    <w:rsid w:val="0028438A"/>
    <w:rsid w:val="002870FE"/>
    <w:rsid w:val="00293573"/>
    <w:rsid w:val="0029752C"/>
    <w:rsid w:val="002A0104"/>
    <w:rsid w:val="002A6FBE"/>
    <w:rsid w:val="002A75F3"/>
    <w:rsid w:val="002B010F"/>
    <w:rsid w:val="002B1499"/>
    <w:rsid w:val="002B20B4"/>
    <w:rsid w:val="002B241D"/>
    <w:rsid w:val="002B3F04"/>
    <w:rsid w:val="002B7BBC"/>
    <w:rsid w:val="002C0414"/>
    <w:rsid w:val="002C6C09"/>
    <w:rsid w:val="002C6F98"/>
    <w:rsid w:val="002D01D4"/>
    <w:rsid w:val="002D1475"/>
    <w:rsid w:val="002D41BF"/>
    <w:rsid w:val="002D6AB9"/>
    <w:rsid w:val="002E73F5"/>
    <w:rsid w:val="002E7B8B"/>
    <w:rsid w:val="002F031F"/>
    <w:rsid w:val="002F044B"/>
    <w:rsid w:val="002F0924"/>
    <w:rsid w:val="002F2948"/>
    <w:rsid w:val="002F2CB8"/>
    <w:rsid w:val="002F6024"/>
    <w:rsid w:val="002F7147"/>
    <w:rsid w:val="002F745E"/>
    <w:rsid w:val="00300A34"/>
    <w:rsid w:val="0030449B"/>
    <w:rsid w:val="00306B08"/>
    <w:rsid w:val="00306CF3"/>
    <w:rsid w:val="00310FF2"/>
    <w:rsid w:val="00313D11"/>
    <w:rsid w:val="0031464E"/>
    <w:rsid w:val="00314F10"/>
    <w:rsid w:val="003150FE"/>
    <w:rsid w:val="0031667A"/>
    <w:rsid w:val="003179DE"/>
    <w:rsid w:val="00322DA4"/>
    <w:rsid w:val="003238B9"/>
    <w:rsid w:val="00323D4C"/>
    <w:rsid w:val="00323ECC"/>
    <w:rsid w:val="00324994"/>
    <w:rsid w:val="003252C7"/>
    <w:rsid w:val="003255E3"/>
    <w:rsid w:val="00327DDE"/>
    <w:rsid w:val="0033118E"/>
    <w:rsid w:val="00333D6A"/>
    <w:rsid w:val="003347B8"/>
    <w:rsid w:val="00334F02"/>
    <w:rsid w:val="0033582C"/>
    <w:rsid w:val="00336C21"/>
    <w:rsid w:val="00336DC4"/>
    <w:rsid w:val="003377EF"/>
    <w:rsid w:val="0034360F"/>
    <w:rsid w:val="003530EC"/>
    <w:rsid w:val="0035583D"/>
    <w:rsid w:val="0035588B"/>
    <w:rsid w:val="003563ED"/>
    <w:rsid w:val="00356F6F"/>
    <w:rsid w:val="00360C0F"/>
    <w:rsid w:val="003621D7"/>
    <w:rsid w:val="00362C38"/>
    <w:rsid w:val="00371587"/>
    <w:rsid w:val="00380FE0"/>
    <w:rsid w:val="00383338"/>
    <w:rsid w:val="00383481"/>
    <w:rsid w:val="0038417A"/>
    <w:rsid w:val="00386A22"/>
    <w:rsid w:val="003878FD"/>
    <w:rsid w:val="00390B31"/>
    <w:rsid w:val="0039229D"/>
    <w:rsid w:val="00396F3C"/>
    <w:rsid w:val="003A0952"/>
    <w:rsid w:val="003A0EA7"/>
    <w:rsid w:val="003A48DF"/>
    <w:rsid w:val="003A6A37"/>
    <w:rsid w:val="003B0BB3"/>
    <w:rsid w:val="003B3F48"/>
    <w:rsid w:val="003B69B9"/>
    <w:rsid w:val="003B735E"/>
    <w:rsid w:val="003C1F1E"/>
    <w:rsid w:val="003C2048"/>
    <w:rsid w:val="003C3389"/>
    <w:rsid w:val="003C3A5F"/>
    <w:rsid w:val="003C65EC"/>
    <w:rsid w:val="003C7EC4"/>
    <w:rsid w:val="003D012F"/>
    <w:rsid w:val="003D21E9"/>
    <w:rsid w:val="003D293D"/>
    <w:rsid w:val="003D2C1B"/>
    <w:rsid w:val="003D4442"/>
    <w:rsid w:val="003D54CA"/>
    <w:rsid w:val="003E329C"/>
    <w:rsid w:val="003E4894"/>
    <w:rsid w:val="003E5C65"/>
    <w:rsid w:val="003E7958"/>
    <w:rsid w:val="003F2198"/>
    <w:rsid w:val="003F2D8B"/>
    <w:rsid w:val="003F5973"/>
    <w:rsid w:val="0040126C"/>
    <w:rsid w:val="00401DED"/>
    <w:rsid w:val="00401F0A"/>
    <w:rsid w:val="004058A3"/>
    <w:rsid w:val="00410535"/>
    <w:rsid w:val="00410D8E"/>
    <w:rsid w:val="004112AE"/>
    <w:rsid w:val="0041138D"/>
    <w:rsid w:val="00413150"/>
    <w:rsid w:val="00413E68"/>
    <w:rsid w:val="00414059"/>
    <w:rsid w:val="0041594F"/>
    <w:rsid w:val="00415AB9"/>
    <w:rsid w:val="00416BEC"/>
    <w:rsid w:val="004246D8"/>
    <w:rsid w:val="00426209"/>
    <w:rsid w:val="004273A5"/>
    <w:rsid w:val="004345A6"/>
    <w:rsid w:val="004403CE"/>
    <w:rsid w:val="00441065"/>
    <w:rsid w:val="004413D8"/>
    <w:rsid w:val="00443FE0"/>
    <w:rsid w:val="004447B8"/>
    <w:rsid w:val="00444826"/>
    <w:rsid w:val="004451D8"/>
    <w:rsid w:val="0045163E"/>
    <w:rsid w:val="004529DB"/>
    <w:rsid w:val="00453B42"/>
    <w:rsid w:val="004547F2"/>
    <w:rsid w:val="00454B39"/>
    <w:rsid w:val="00457C76"/>
    <w:rsid w:val="00457D94"/>
    <w:rsid w:val="00460A7A"/>
    <w:rsid w:val="004649A8"/>
    <w:rsid w:val="0046762C"/>
    <w:rsid w:val="00470EE4"/>
    <w:rsid w:val="00473411"/>
    <w:rsid w:val="004739A4"/>
    <w:rsid w:val="004755E9"/>
    <w:rsid w:val="00475F39"/>
    <w:rsid w:val="0047764C"/>
    <w:rsid w:val="004857C0"/>
    <w:rsid w:val="00487F24"/>
    <w:rsid w:val="00490022"/>
    <w:rsid w:val="00490A19"/>
    <w:rsid w:val="00495A21"/>
    <w:rsid w:val="00495C36"/>
    <w:rsid w:val="00497509"/>
    <w:rsid w:val="004A3727"/>
    <w:rsid w:val="004A3FA6"/>
    <w:rsid w:val="004B00D4"/>
    <w:rsid w:val="004B0540"/>
    <w:rsid w:val="004B056F"/>
    <w:rsid w:val="004B28E6"/>
    <w:rsid w:val="004B41E3"/>
    <w:rsid w:val="004C097D"/>
    <w:rsid w:val="004C3067"/>
    <w:rsid w:val="004C5B3A"/>
    <w:rsid w:val="004D28D8"/>
    <w:rsid w:val="004D79B8"/>
    <w:rsid w:val="004E0852"/>
    <w:rsid w:val="004E134C"/>
    <w:rsid w:val="004E63E6"/>
    <w:rsid w:val="004E668F"/>
    <w:rsid w:val="004E78BA"/>
    <w:rsid w:val="004E78F9"/>
    <w:rsid w:val="004F2BE4"/>
    <w:rsid w:val="004F329C"/>
    <w:rsid w:val="004F5346"/>
    <w:rsid w:val="004F5578"/>
    <w:rsid w:val="004F7E86"/>
    <w:rsid w:val="00502167"/>
    <w:rsid w:val="00505F06"/>
    <w:rsid w:val="005101C8"/>
    <w:rsid w:val="0051286D"/>
    <w:rsid w:val="00512C8A"/>
    <w:rsid w:val="005158B5"/>
    <w:rsid w:val="00523E38"/>
    <w:rsid w:val="00524E9A"/>
    <w:rsid w:val="0052545B"/>
    <w:rsid w:val="00526530"/>
    <w:rsid w:val="00526EBF"/>
    <w:rsid w:val="00530CEE"/>
    <w:rsid w:val="0053129C"/>
    <w:rsid w:val="0053481E"/>
    <w:rsid w:val="00542D45"/>
    <w:rsid w:val="0054344D"/>
    <w:rsid w:val="00550EBC"/>
    <w:rsid w:val="0055623A"/>
    <w:rsid w:val="00557515"/>
    <w:rsid w:val="00564580"/>
    <w:rsid w:val="00565934"/>
    <w:rsid w:val="0056664A"/>
    <w:rsid w:val="00567444"/>
    <w:rsid w:val="0057240C"/>
    <w:rsid w:val="005725A6"/>
    <w:rsid w:val="00575031"/>
    <w:rsid w:val="00575E37"/>
    <w:rsid w:val="005763D4"/>
    <w:rsid w:val="00576A5E"/>
    <w:rsid w:val="00577FB1"/>
    <w:rsid w:val="00580C74"/>
    <w:rsid w:val="00584DF0"/>
    <w:rsid w:val="00585740"/>
    <w:rsid w:val="00585898"/>
    <w:rsid w:val="0059005A"/>
    <w:rsid w:val="00590392"/>
    <w:rsid w:val="005925F8"/>
    <w:rsid w:val="00594DF0"/>
    <w:rsid w:val="00596F5F"/>
    <w:rsid w:val="005975E9"/>
    <w:rsid w:val="005A1C6C"/>
    <w:rsid w:val="005A5A8E"/>
    <w:rsid w:val="005B0BF2"/>
    <w:rsid w:val="005B3ACB"/>
    <w:rsid w:val="005B4A65"/>
    <w:rsid w:val="005B649B"/>
    <w:rsid w:val="005B6B03"/>
    <w:rsid w:val="005C143F"/>
    <w:rsid w:val="005C2C9F"/>
    <w:rsid w:val="005C36E2"/>
    <w:rsid w:val="005C42FA"/>
    <w:rsid w:val="005C5DA3"/>
    <w:rsid w:val="005D07E8"/>
    <w:rsid w:val="005D082E"/>
    <w:rsid w:val="005D0853"/>
    <w:rsid w:val="005D272D"/>
    <w:rsid w:val="005D4146"/>
    <w:rsid w:val="005E155A"/>
    <w:rsid w:val="005F099D"/>
    <w:rsid w:val="005F1879"/>
    <w:rsid w:val="005F3D2F"/>
    <w:rsid w:val="0060266E"/>
    <w:rsid w:val="00603484"/>
    <w:rsid w:val="006046D0"/>
    <w:rsid w:val="00604974"/>
    <w:rsid w:val="00605D24"/>
    <w:rsid w:val="0060707C"/>
    <w:rsid w:val="00607EF9"/>
    <w:rsid w:val="0061136F"/>
    <w:rsid w:val="00612422"/>
    <w:rsid w:val="00614068"/>
    <w:rsid w:val="006142FA"/>
    <w:rsid w:val="006173BD"/>
    <w:rsid w:val="00617804"/>
    <w:rsid w:val="0062064F"/>
    <w:rsid w:val="00620E28"/>
    <w:rsid w:val="0062199C"/>
    <w:rsid w:val="00622510"/>
    <w:rsid w:val="00622D6C"/>
    <w:rsid w:val="00623CEF"/>
    <w:rsid w:val="00624AC7"/>
    <w:rsid w:val="00625B67"/>
    <w:rsid w:val="0062628E"/>
    <w:rsid w:val="00626409"/>
    <w:rsid w:val="00626412"/>
    <w:rsid w:val="0063014E"/>
    <w:rsid w:val="00630605"/>
    <w:rsid w:val="0063311F"/>
    <w:rsid w:val="00642415"/>
    <w:rsid w:val="00645A94"/>
    <w:rsid w:val="0065126C"/>
    <w:rsid w:val="0065493A"/>
    <w:rsid w:val="00655E35"/>
    <w:rsid w:val="00662EF4"/>
    <w:rsid w:val="00665E37"/>
    <w:rsid w:val="00673B5B"/>
    <w:rsid w:val="00675D52"/>
    <w:rsid w:val="00677277"/>
    <w:rsid w:val="00692BEF"/>
    <w:rsid w:val="0069432D"/>
    <w:rsid w:val="00696C6C"/>
    <w:rsid w:val="006A5CB3"/>
    <w:rsid w:val="006A6EE4"/>
    <w:rsid w:val="006B4AD3"/>
    <w:rsid w:val="006B509F"/>
    <w:rsid w:val="006B5922"/>
    <w:rsid w:val="006C04DF"/>
    <w:rsid w:val="006C36EA"/>
    <w:rsid w:val="006D1E0D"/>
    <w:rsid w:val="006D4F4F"/>
    <w:rsid w:val="006E1AC4"/>
    <w:rsid w:val="006E7153"/>
    <w:rsid w:val="006F2E85"/>
    <w:rsid w:val="006F383D"/>
    <w:rsid w:val="006F7B50"/>
    <w:rsid w:val="006F7F9C"/>
    <w:rsid w:val="00701C44"/>
    <w:rsid w:val="00703ECB"/>
    <w:rsid w:val="00711F83"/>
    <w:rsid w:val="007132CD"/>
    <w:rsid w:val="00713A76"/>
    <w:rsid w:val="00716247"/>
    <w:rsid w:val="00716ECD"/>
    <w:rsid w:val="0071777A"/>
    <w:rsid w:val="00717B68"/>
    <w:rsid w:val="0072026F"/>
    <w:rsid w:val="00720CB4"/>
    <w:rsid w:val="00723A03"/>
    <w:rsid w:val="00724F2C"/>
    <w:rsid w:val="0073276E"/>
    <w:rsid w:val="00734762"/>
    <w:rsid w:val="00736914"/>
    <w:rsid w:val="007378DA"/>
    <w:rsid w:val="00737D6E"/>
    <w:rsid w:val="007409E8"/>
    <w:rsid w:val="007422F8"/>
    <w:rsid w:val="0074299F"/>
    <w:rsid w:val="00745796"/>
    <w:rsid w:val="0075154B"/>
    <w:rsid w:val="0075276E"/>
    <w:rsid w:val="0075314C"/>
    <w:rsid w:val="00761357"/>
    <w:rsid w:val="00761C6C"/>
    <w:rsid w:val="00761F80"/>
    <w:rsid w:val="0076215B"/>
    <w:rsid w:val="00763676"/>
    <w:rsid w:val="00763B33"/>
    <w:rsid w:val="00764623"/>
    <w:rsid w:val="00773394"/>
    <w:rsid w:val="00774734"/>
    <w:rsid w:val="00774D33"/>
    <w:rsid w:val="007776A5"/>
    <w:rsid w:val="00784AB4"/>
    <w:rsid w:val="00784D46"/>
    <w:rsid w:val="00787566"/>
    <w:rsid w:val="007879E0"/>
    <w:rsid w:val="00791F6E"/>
    <w:rsid w:val="007922F3"/>
    <w:rsid w:val="0079347E"/>
    <w:rsid w:val="00794551"/>
    <w:rsid w:val="00794D64"/>
    <w:rsid w:val="00796458"/>
    <w:rsid w:val="00797E6E"/>
    <w:rsid w:val="007A6202"/>
    <w:rsid w:val="007B135E"/>
    <w:rsid w:val="007B5FB3"/>
    <w:rsid w:val="007B6668"/>
    <w:rsid w:val="007B7B3A"/>
    <w:rsid w:val="007C0DD5"/>
    <w:rsid w:val="007C14B4"/>
    <w:rsid w:val="007C1999"/>
    <w:rsid w:val="007C2192"/>
    <w:rsid w:val="007D08E6"/>
    <w:rsid w:val="007D6D6F"/>
    <w:rsid w:val="007E2BFA"/>
    <w:rsid w:val="007E391C"/>
    <w:rsid w:val="007F327B"/>
    <w:rsid w:val="007F3406"/>
    <w:rsid w:val="007F4838"/>
    <w:rsid w:val="00804001"/>
    <w:rsid w:val="00805BFE"/>
    <w:rsid w:val="00806A1F"/>
    <w:rsid w:val="00807817"/>
    <w:rsid w:val="00807D6F"/>
    <w:rsid w:val="00810A0B"/>
    <w:rsid w:val="00814D61"/>
    <w:rsid w:val="00825266"/>
    <w:rsid w:val="008330A1"/>
    <w:rsid w:val="00834E29"/>
    <w:rsid w:val="00836329"/>
    <w:rsid w:val="00837ADF"/>
    <w:rsid w:val="00843CB4"/>
    <w:rsid w:val="00844D41"/>
    <w:rsid w:val="0084517E"/>
    <w:rsid w:val="00845831"/>
    <w:rsid w:val="0084634F"/>
    <w:rsid w:val="00850797"/>
    <w:rsid w:val="00852585"/>
    <w:rsid w:val="00853F18"/>
    <w:rsid w:val="0085462E"/>
    <w:rsid w:val="0085731F"/>
    <w:rsid w:val="00857539"/>
    <w:rsid w:val="00857D12"/>
    <w:rsid w:val="00860729"/>
    <w:rsid w:val="00861174"/>
    <w:rsid w:val="00862690"/>
    <w:rsid w:val="00863068"/>
    <w:rsid w:val="0086509E"/>
    <w:rsid w:val="008704D7"/>
    <w:rsid w:val="00872635"/>
    <w:rsid w:val="00876F35"/>
    <w:rsid w:val="00880A11"/>
    <w:rsid w:val="00881C43"/>
    <w:rsid w:val="008943C0"/>
    <w:rsid w:val="00894540"/>
    <w:rsid w:val="008969DB"/>
    <w:rsid w:val="00896BD1"/>
    <w:rsid w:val="008A0F30"/>
    <w:rsid w:val="008A34AC"/>
    <w:rsid w:val="008A7E7C"/>
    <w:rsid w:val="008B00BB"/>
    <w:rsid w:val="008B08C3"/>
    <w:rsid w:val="008B165A"/>
    <w:rsid w:val="008B2592"/>
    <w:rsid w:val="008B2604"/>
    <w:rsid w:val="008B72ED"/>
    <w:rsid w:val="008C1835"/>
    <w:rsid w:val="008C23FC"/>
    <w:rsid w:val="008C3DF1"/>
    <w:rsid w:val="008C445E"/>
    <w:rsid w:val="008C6342"/>
    <w:rsid w:val="008D345B"/>
    <w:rsid w:val="008E3D29"/>
    <w:rsid w:val="008F2347"/>
    <w:rsid w:val="008F34D4"/>
    <w:rsid w:val="008F3C70"/>
    <w:rsid w:val="008F554E"/>
    <w:rsid w:val="008F575D"/>
    <w:rsid w:val="008F5B8A"/>
    <w:rsid w:val="008F6010"/>
    <w:rsid w:val="00900C46"/>
    <w:rsid w:val="00903E8F"/>
    <w:rsid w:val="00907539"/>
    <w:rsid w:val="00907BB4"/>
    <w:rsid w:val="00910DF7"/>
    <w:rsid w:val="00911E11"/>
    <w:rsid w:val="00912C33"/>
    <w:rsid w:val="0091395B"/>
    <w:rsid w:val="009220E6"/>
    <w:rsid w:val="0092462E"/>
    <w:rsid w:val="00925418"/>
    <w:rsid w:val="00927C99"/>
    <w:rsid w:val="00930E8E"/>
    <w:rsid w:val="00933F71"/>
    <w:rsid w:val="00934EA5"/>
    <w:rsid w:val="00935185"/>
    <w:rsid w:val="00935B16"/>
    <w:rsid w:val="00943B02"/>
    <w:rsid w:val="0095053D"/>
    <w:rsid w:val="009518E4"/>
    <w:rsid w:val="0095220A"/>
    <w:rsid w:val="00952259"/>
    <w:rsid w:val="009547B8"/>
    <w:rsid w:val="00954DF8"/>
    <w:rsid w:val="009553FB"/>
    <w:rsid w:val="009609BE"/>
    <w:rsid w:val="0096379A"/>
    <w:rsid w:val="00966D81"/>
    <w:rsid w:val="00967558"/>
    <w:rsid w:val="00971C35"/>
    <w:rsid w:val="009738EE"/>
    <w:rsid w:val="00973FD3"/>
    <w:rsid w:val="0098405C"/>
    <w:rsid w:val="009840EF"/>
    <w:rsid w:val="00985ECD"/>
    <w:rsid w:val="00987EB4"/>
    <w:rsid w:val="00994655"/>
    <w:rsid w:val="0099748F"/>
    <w:rsid w:val="009A0ACE"/>
    <w:rsid w:val="009A271A"/>
    <w:rsid w:val="009A5C96"/>
    <w:rsid w:val="009B0013"/>
    <w:rsid w:val="009B04CA"/>
    <w:rsid w:val="009B0AE3"/>
    <w:rsid w:val="009B0D20"/>
    <w:rsid w:val="009B0DA4"/>
    <w:rsid w:val="009B1796"/>
    <w:rsid w:val="009B1D3A"/>
    <w:rsid w:val="009B45CA"/>
    <w:rsid w:val="009B642E"/>
    <w:rsid w:val="009C220F"/>
    <w:rsid w:val="009C53F1"/>
    <w:rsid w:val="009C549C"/>
    <w:rsid w:val="009C7BEC"/>
    <w:rsid w:val="009D09A5"/>
    <w:rsid w:val="009D0E5E"/>
    <w:rsid w:val="009D4A07"/>
    <w:rsid w:val="009D4E82"/>
    <w:rsid w:val="009D6C01"/>
    <w:rsid w:val="009D6CAA"/>
    <w:rsid w:val="009E2B1E"/>
    <w:rsid w:val="009E75D1"/>
    <w:rsid w:val="009F043F"/>
    <w:rsid w:val="009F0BC2"/>
    <w:rsid w:val="009F0E8A"/>
    <w:rsid w:val="009F1DA2"/>
    <w:rsid w:val="009F383E"/>
    <w:rsid w:val="009F619D"/>
    <w:rsid w:val="00A00244"/>
    <w:rsid w:val="00A005B0"/>
    <w:rsid w:val="00A03DB3"/>
    <w:rsid w:val="00A05CE3"/>
    <w:rsid w:val="00A06BBE"/>
    <w:rsid w:val="00A07839"/>
    <w:rsid w:val="00A1151F"/>
    <w:rsid w:val="00A11980"/>
    <w:rsid w:val="00A12B13"/>
    <w:rsid w:val="00A1441E"/>
    <w:rsid w:val="00A20427"/>
    <w:rsid w:val="00A20FFB"/>
    <w:rsid w:val="00A214C5"/>
    <w:rsid w:val="00A2352F"/>
    <w:rsid w:val="00A247CB"/>
    <w:rsid w:val="00A24AA6"/>
    <w:rsid w:val="00A24FEE"/>
    <w:rsid w:val="00A271D1"/>
    <w:rsid w:val="00A30087"/>
    <w:rsid w:val="00A30EC0"/>
    <w:rsid w:val="00A313D9"/>
    <w:rsid w:val="00A318E4"/>
    <w:rsid w:val="00A32517"/>
    <w:rsid w:val="00A332A6"/>
    <w:rsid w:val="00A34ED0"/>
    <w:rsid w:val="00A409F9"/>
    <w:rsid w:val="00A43699"/>
    <w:rsid w:val="00A44138"/>
    <w:rsid w:val="00A47883"/>
    <w:rsid w:val="00A478F6"/>
    <w:rsid w:val="00A51618"/>
    <w:rsid w:val="00A547BF"/>
    <w:rsid w:val="00A55DE4"/>
    <w:rsid w:val="00A61AFC"/>
    <w:rsid w:val="00A61C5D"/>
    <w:rsid w:val="00A62769"/>
    <w:rsid w:val="00A655B4"/>
    <w:rsid w:val="00A65E6A"/>
    <w:rsid w:val="00A67B3E"/>
    <w:rsid w:val="00A67E6A"/>
    <w:rsid w:val="00A71CA9"/>
    <w:rsid w:val="00A77118"/>
    <w:rsid w:val="00A871F8"/>
    <w:rsid w:val="00A87C4B"/>
    <w:rsid w:val="00A87CF6"/>
    <w:rsid w:val="00A9050D"/>
    <w:rsid w:val="00A938B1"/>
    <w:rsid w:val="00A96249"/>
    <w:rsid w:val="00AA15F2"/>
    <w:rsid w:val="00AA6B7F"/>
    <w:rsid w:val="00AB081B"/>
    <w:rsid w:val="00AB337B"/>
    <w:rsid w:val="00AB563D"/>
    <w:rsid w:val="00AB7AE8"/>
    <w:rsid w:val="00AC62EA"/>
    <w:rsid w:val="00AC7770"/>
    <w:rsid w:val="00AC7AF2"/>
    <w:rsid w:val="00AD45DB"/>
    <w:rsid w:val="00AD478E"/>
    <w:rsid w:val="00AD67ED"/>
    <w:rsid w:val="00AE035F"/>
    <w:rsid w:val="00AE19A8"/>
    <w:rsid w:val="00AE2B36"/>
    <w:rsid w:val="00AE5748"/>
    <w:rsid w:val="00AE59F0"/>
    <w:rsid w:val="00AE60CB"/>
    <w:rsid w:val="00AE62AE"/>
    <w:rsid w:val="00AF1082"/>
    <w:rsid w:val="00AF3D6C"/>
    <w:rsid w:val="00B00F62"/>
    <w:rsid w:val="00B01E0C"/>
    <w:rsid w:val="00B03CE8"/>
    <w:rsid w:val="00B05757"/>
    <w:rsid w:val="00B05CD8"/>
    <w:rsid w:val="00B1024D"/>
    <w:rsid w:val="00B11DAD"/>
    <w:rsid w:val="00B12C22"/>
    <w:rsid w:val="00B134CC"/>
    <w:rsid w:val="00B2349C"/>
    <w:rsid w:val="00B23C12"/>
    <w:rsid w:val="00B27B6E"/>
    <w:rsid w:val="00B31495"/>
    <w:rsid w:val="00B33878"/>
    <w:rsid w:val="00B35139"/>
    <w:rsid w:val="00B37B83"/>
    <w:rsid w:val="00B44D2E"/>
    <w:rsid w:val="00B50A02"/>
    <w:rsid w:val="00B555DB"/>
    <w:rsid w:val="00B6150E"/>
    <w:rsid w:val="00B6190E"/>
    <w:rsid w:val="00B705E5"/>
    <w:rsid w:val="00B712B9"/>
    <w:rsid w:val="00B719C9"/>
    <w:rsid w:val="00B764D9"/>
    <w:rsid w:val="00B7739A"/>
    <w:rsid w:val="00B810DB"/>
    <w:rsid w:val="00B842E3"/>
    <w:rsid w:val="00B87364"/>
    <w:rsid w:val="00B906EE"/>
    <w:rsid w:val="00B90E07"/>
    <w:rsid w:val="00B9244D"/>
    <w:rsid w:val="00B9582F"/>
    <w:rsid w:val="00B95AAA"/>
    <w:rsid w:val="00B96322"/>
    <w:rsid w:val="00BA0296"/>
    <w:rsid w:val="00BA0E88"/>
    <w:rsid w:val="00BA34B2"/>
    <w:rsid w:val="00BA3B16"/>
    <w:rsid w:val="00BA3FFF"/>
    <w:rsid w:val="00BA723F"/>
    <w:rsid w:val="00BA782A"/>
    <w:rsid w:val="00BB4ECF"/>
    <w:rsid w:val="00BC59C7"/>
    <w:rsid w:val="00BC6E6C"/>
    <w:rsid w:val="00BC7C9E"/>
    <w:rsid w:val="00BD1680"/>
    <w:rsid w:val="00BD2629"/>
    <w:rsid w:val="00BD72B5"/>
    <w:rsid w:val="00BE0055"/>
    <w:rsid w:val="00BE5113"/>
    <w:rsid w:val="00BE7DF2"/>
    <w:rsid w:val="00BF0B22"/>
    <w:rsid w:val="00BF19D9"/>
    <w:rsid w:val="00BF283A"/>
    <w:rsid w:val="00BF3AF2"/>
    <w:rsid w:val="00BF5230"/>
    <w:rsid w:val="00BF7702"/>
    <w:rsid w:val="00BF799F"/>
    <w:rsid w:val="00C040B3"/>
    <w:rsid w:val="00C05669"/>
    <w:rsid w:val="00C062CD"/>
    <w:rsid w:val="00C11EE1"/>
    <w:rsid w:val="00C127C2"/>
    <w:rsid w:val="00C15519"/>
    <w:rsid w:val="00C17470"/>
    <w:rsid w:val="00C17F88"/>
    <w:rsid w:val="00C312FB"/>
    <w:rsid w:val="00C316F8"/>
    <w:rsid w:val="00C362ED"/>
    <w:rsid w:val="00C36990"/>
    <w:rsid w:val="00C36F04"/>
    <w:rsid w:val="00C371E1"/>
    <w:rsid w:val="00C4393C"/>
    <w:rsid w:val="00C43AF5"/>
    <w:rsid w:val="00C44975"/>
    <w:rsid w:val="00C45962"/>
    <w:rsid w:val="00C45999"/>
    <w:rsid w:val="00C4768C"/>
    <w:rsid w:val="00C4778F"/>
    <w:rsid w:val="00C51AE6"/>
    <w:rsid w:val="00C532FC"/>
    <w:rsid w:val="00C55258"/>
    <w:rsid w:val="00C576B0"/>
    <w:rsid w:val="00C60212"/>
    <w:rsid w:val="00C60460"/>
    <w:rsid w:val="00C615B2"/>
    <w:rsid w:val="00C621A6"/>
    <w:rsid w:val="00C63BAA"/>
    <w:rsid w:val="00C644C9"/>
    <w:rsid w:val="00C73440"/>
    <w:rsid w:val="00C738A1"/>
    <w:rsid w:val="00C751EA"/>
    <w:rsid w:val="00C7537E"/>
    <w:rsid w:val="00C761B5"/>
    <w:rsid w:val="00C768A6"/>
    <w:rsid w:val="00C77974"/>
    <w:rsid w:val="00C812EB"/>
    <w:rsid w:val="00C8650F"/>
    <w:rsid w:val="00C9123D"/>
    <w:rsid w:val="00C927AB"/>
    <w:rsid w:val="00C95EC0"/>
    <w:rsid w:val="00C970C9"/>
    <w:rsid w:val="00CA2085"/>
    <w:rsid w:val="00CA5AD7"/>
    <w:rsid w:val="00CA7074"/>
    <w:rsid w:val="00CA737A"/>
    <w:rsid w:val="00CB1445"/>
    <w:rsid w:val="00CB1618"/>
    <w:rsid w:val="00CB1DF5"/>
    <w:rsid w:val="00CB24ED"/>
    <w:rsid w:val="00CB252A"/>
    <w:rsid w:val="00CB3298"/>
    <w:rsid w:val="00CB74ED"/>
    <w:rsid w:val="00CC41A8"/>
    <w:rsid w:val="00CC56BA"/>
    <w:rsid w:val="00CC7822"/>
    <w:rsid w:val="00CC7D05"/>
    <w:rsid w:val="00CD486C"/>
    <w:rsid w:val="00CD6063"/>
    <w:rsid w:val="00CE469E"/>
    <w:rsid w:val="00CE46AC"/>
    <w:rsid w:val="00CF2AD7"/>
    <w:rsid w:val="00CF367C"/>
    <w:rsid w:val="00CF6B96"/>
    <w:rsid w:val="00D03C88"/>
    <w:rsid w:val="00D07E40"/>
    <w:rsid w:val="00D10345"/>
    <w:rsid w:val="00D1080D"/>
    <w:rsid w:val="00D14B48"/>
    <w:rsid w:val="00D20013"/>
    <w:rsid w:val="00D211A1"/>
    <w:rsid w:val="00D23133"/>
    <w:rsid w:val="00D24680"/>
    <w:rsid w:val="00D25F5A"/>
    <w:rsid w:val="00D2601F"/>
    <w:rsid w:val="00D3034E"/>
    <w:rsid w:val="00D30408"/>
    <w:rsid w:val="00D3167D"/>
    <w:rsid w:val="00D32B26"/>
    <w:rsid w:val="00D40DD1"/>
    <w:rsid w:val="00D43AC4"/>
    <w:rsid w:val="00D457DF"/>
    <w:rsid w:val="00D4598D"/>
    <w:rsid w:val="00D45C55"/>
    <w:rsid w:val="00D46C3D"/>
    <w:rsid w:val="00D53799"/>
    <w:rsid w:val="00D55D67"/>
    <w:rsid w:val="00D560B2"/>
    <w:rsid w:val="00D56A1A"/>
    <w:rsid w:val="00D5758C"/>
    <w:rsid w:val="00D60F35"/>
    <w:rsid w:val="00D622E6"/>
    <w:rsid w:val="00D647AC"/>
    <w:rsid w:val="00D67FA7"/>
    <w:rsid w:val="00D7035C"/>
    <w:rsid w:val="00D7377E"/>
    <w:rsid w:val="00D7532F"/>
    <w:rsid w:val="00D75F40"/>
    <w:rsid w:val="00D81784"/>
    <w:rsid w:val="00D81AC9"/>
    <w:rsid w:val="00D90E12"/>
    <w:rsid w:val="00D91006"/>
    <w:rsid w:val="00D91986"/>
    <w:rsid w:val="00D956D7"/>
    <w:rsid w:val="00DA13A5"/>
    <w:rsid w:val="00DA214E"/>
    <w:rsid w:val="00DA41AC"/>
    <w:rsid w:val="00DA69D8"/>
    <w:rsid w:val="00DA7720"/>
    <w:rsid w:val="00DB06B6"/>
    <w:rsid w:val="00DB53AB"/>
    <w:rsid w:val="00DC0C8A"/>
    <w:rsid w:val="00DC1CD9"/>
    <w:rsid w:val="00DC26D4"/>
    <w:rsid w:val="00DC3577"/>
    <w:rsid w:val="00DC7872"/>
    <w:rsid w:val="00DD045A"/>
    <w:rsid w:val="00DD2E83"/>
    <w:rsid w:val="00DD305F"/>
    <w:rsid w:val="00DD3344"/>
    <w:rsid w:val="00DD5938"/>
    <w:rsid w:val="00DD60A6"/>
    <w:rsid w:val="00DE044F"/>
    <w:rsid w:val="00DF0BEB"/>
    <w:rsid w:val="00DF54AC"/>
    <w:rsid w:val="00E00696"/>
    <w:rsid w:val="00E0196C"/>
    <w:rsid w:val="00E01ECD"/>
    <w:rsid w:val="00E034EB"/>
    <w:rsid w:val="00E0427A"/>
    <w:rsid w:val="00E054E9"/>
    <w:rsid w:val="00E109DF"/>
    <w:rsid w:val="00E20B63"/>
    <w:rsid w:val="00E242DD"/>
    <w:rsid w:val="00E2698C"/>
    <w:rsid w:val="00E3340E"/>
    <w:rsid w:val="00E36207"/>
    <w:rsid w:val="00E41949"/>
    <w:rsid w:val="00E43F58"/>
    <w:rsid w:val="00E454EC"/>
    <w:rsid w:val="00E4621A"/>
    <w:rsid w:val="00E46472"/>
    <w:rsid w:val="00E47190"/>
    <w:rsid w:val="00E54F7A"/>
    <w:rsid w:val="00E566F6"/>
    <w:rsid w:val="00E56E61"/>
    <w:rsid w:val="00E57AD5"/>
    <w:rsid w:val="00E653CB"/>
    <w:rsid w:val="00E6642C"/>
    <w:rsid w:val="00E672E3"/>
    <w:rsid w:val="00E67BCE"/>
    <w:rsid w:val="00E70C4E"/>
    <w:rsid w:val="00E72A7E"/>
    <w:rsid w:val="00E73748"/>
    <w:rsid w:val="00E76E8F"/>
    <w:rsid w:val="00E77313"/>
    <w:rsid w:val="00E7789C"/>
    <w:rsid w:val="00E80F56"/>
    <w:rsid w:val="00E81694"/>
    <w:rsid w:val="00E82EF0"/>
    <w:rsid w:val="00E92375"/>
    <w:rsid w:val="00E93B39"/>
    <w:rsid w:val="00E94473"/>
    <w:rsid w:val="00E978FC"/>
    <w:rsid w:val="00EA1F6F"/>
    <w:rsid w:val="00EA2C61"/>
    <w:rsid w:val="00EA421C"/>
    <w:rsid w:val="00EA69B4"/>
    <w:rsid w:val="00EB06E2"/>
    <w:rsid w:val="00EB5FBC"/>
    <w:rsid w:val="00EC3CA0"/>
    <w:rsid w:val="00EC3D82"/>
    <w:rsid w:val="00EC79E1"/>
    <w:rsid w:val="00EC7D77"/>
    <w:rsid w:val="00ED083E"/>
    <w:rsid w:val="00EE4F48"/>
    <w:rsid w:val="00EE5833"/>
    <w:rsid w:val="00EF3708"/>
    <w:rsid w:val="00EF437B"/>
    <w:rsid w:val="00EF4DB5"/>
    <w:rsid w:val="00EF685E"/>
    <w:rsid w:val="00EF6BED"/>
    <w:rsid w:val="00EF762A"/>
    <w:rsid w:val="00EF78ED"/>
    <w:rsid w:val="00F01C70"/>
    <w:rsid w:val="00F03FB7"/>
    <w:rsid w:val="00F0605F"/>
    <w:rsid w:val="00F07FFB"/>
    <w:rsid w:val="00F1009B"/>
    <w:rsid w:val="00F10219"/>
    <w:rsid w:val="00F17160"/>
    <w:rsid w:val="00F17403"/>
    <w:rsid w:val="00F24564"/>
    <w:rsid w:val="00F273D2"/>
    <w:rsid w:val="00F319A3"/>
    <w:rsid w:val="00F342E1"/>
    <w:rsid w:val="00F354FE"/>
    <w:rsid w:val="00F35ED9"/>
    <w:rsid w:val="00F42562"/>
    <w:rsid w:val="00F43C61"/>
    <w:rsid w:val="00F47516"/>
    <w:rsid w:val="00F520FE"/>
    <w:rsid w:val="00F52203"/>
    <w:rsid w:val="00F536BB"/>
    <w:rsid w:val="00F53F67"/>
    <w:rsid w:val="00F54500"/>
    <w:rsid w:val="00F55110"/>
    <w:rsid w:val="00F551AA"/>
    <w:rsid w:val="00F552A4"/>
    <w:rsid w:val="00F56154"/>
    <w:rsid w:val="00F61885"/>
    <w:rsid w:val="00F63E84"/>
    <w:rsid w:val="00F65BB4"/>
    <w:rsid w:val="00F6778A"/>
    <w:rsid w:val="00F71C10"/>
    <w:rsid w:val="00F73090"/>
    <w:rsid w:val="00F73E1C"/>
    <w:rsid w:val="00F75AD9"/>
    <w:rsid w:val="00F778E6"/>
    <w:rsid w:val="00F84371"/>
    <w:rsid w:val="00F85260"/>
    <w:rsid w:val="00F86694"/>
    <w:rsid w:val="00F869AC"/>
    <w:rsid w:val="00F9041B"/>
    <w:rsid w:val="00F90B90"/>
    <w:rsid w:val="00F94E17"/>
    <w:rsid w:val="00FA0A41"/>
    <w:rsid w:val="00FA2FD6"/>
    <w:rsid w:val="00FB569B"/>
    <w:rsid w:val="00FC24BC"/>
    <w:rsid w:val="00FC5FB7"/>
    <w:rsid w:val="00FC6BBC"/>
    <w:rsid w:val="00FD2E62"/>
    <w:rsid w:val="00FD3EE8"/>
    <w:rsid w:val="00FD4D7E"/>
    <w:rsid w:val="00FD50E4"/>
    <w:rsid w:val="00FD55EB"/>
    <w:rsid w:val="00FD59FB"/>
    <w:rsid w:val="00FD655D"/>
    <w:rsid w:val="00FE151C"/>
    <w:rsid w:val="00FE1AA2"/>
    <w:rsid w:val="00FE22A2"/>
    <w:rsid w:val="00FE64D2"/>
    <w:rsid w:val="00FF0CE5"/>
    <w:rsid w:val="00FF17FB"/>
    <w:rsid w:val="00FF1A6C"/>
    <w:rsid w:val="00FF4A71"/>
    <w:rsid w:val="00FF5D6D"/>
    <w:rsid w:val="00FF61FC"/>
    <w:rsid w:val="00FF6F50"/>
    <w:rsid w:val="00FF76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73C0774-4D21-4FC1-B07C-D79F7A48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371"/>
    <w:pPr>
      <w:spacing w:after="200" w:line="276" w:lineRule="auto"/>
    </w:pPr>
    <w:rPr>
      <w:sz w:val="22"/>
      <w:szCs w:val="22"/>
      <w:lang w:eastAsia="en-US"/>
    </w:rPr>
  </w:style>
  <w:style w:type="paragraph" w:styleId="Heading1">
    <w:name w:val="heading 1"/>
    <w:basedOn w:val="Normal"/>
    <w:link w:val="Heading1Char"/>
    <w:uiPriority w:val="9"/>
    <w:qFormat/>
    <w:rsid w:val="001A411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6B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536BB"/>
    <w:rPr>
      <w:rFonts w:ascii="Tahoma" w:hAnsi="Tahoma" w:cs="Tahoma"/>
      <w:sz w:val="16"/>
      <w:szCs w:val="16"/>
    </w:rPr>
  </w:style>
  <w:style w:type="paragraph" w:styleId="Header">
    <w:name w:val="header"/>
    <w:basedOn w:val="Normal"/>
    <w:link w:val="HeaderChar"/>
    <w:uiPriority w:val="99"/>
    <w:semiHidden/>
    <w:unhideWhenUsed/>
    <w:rsid w:val="00E56E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6E61"/>
  </w:style>
  <w:style w:type="paragraph" w:styleId="Footer">
    <w:name w:val="footer"/>
    <w:basedOn w:val="Normal"/>
    <w:link w:val="FooterChar"/>
    <w:uiPriority w:val="99"/>
    <w:unhideWhenUsed/>
    <w:rsid w:val="00E56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E61"/>
  </w:style>
  <w:style w:type="character" w:styleId="Hyperlink">
    <w:name w:val="Hyperlink"/>
    <w:uiPriority w:val="99"/>
    <w:unhideWhenUsed/>
    <w:rsid w:val="00E00696"/>
    <w:rPr>
      <w:color w:val="0000FF"/>
      <w:u w:val="single"/>
    </w:rPr>
  </w:style>
  <w:style w:type="character" w:customStyle="1" w:styleId="hps">
    <w:name w:val="hps"/>
    <w:basedOn w:val="DefaultParagraphFont"/>
    <w:rsid w:val="00336DC4"/>
  </w:style>
  <w:style w:type="paragraph" w:styleId="ListParagraph">
    <w:name w:val="List Paragraph"/>
    <w:basedOn w:val="Normal"/>
    <w:uiPriority w:val="34"/>
    <w:qFormat/>
    <w:rsid w:val="00F52203"/>
    <w:pPr>
      <w:ind w:left="720"/>
      <w:contextualSpacing/>
    </w:pPr>
  </w:style>
  <w:style w:type="character" w:styleId="FollowedHyperlink">
    <w:name w:val="FollowedHyperlink"/>
    <w:uiPriority w:val="99"/>
    <w:semiHidden/>
    <w:unhideWhenUsed/>
    <w:rsid w:val="0052545B"/>
    <w:rPr>
      <w:color w:val="800080"/>
      <w:u w:val="single"/>
    </w:rPr>
  </w:style>
  <w:style w:type="character" w:styleId="CommentReference">
    <w:name w:val="annotation reference"/>
    <w:uiPriority w:val="99"/>
    <w:semiHidden/>
    <w:unhideWhenUsed/>
    <w:rsid w:val="003255E3"/>
    <w:rPr>
      <w:sz w:val="16"/>
      <w:szCs w:val="16"/>
    </w:rPr>
  </w:style>
  <w:style w:type="paragraph" w:styleId="CommentText">
    <w:name w:val="annotation text"/>
    <w:basedOn w:val="Normal"/>
    <w:link w:val="CommentTextChar"/>
    <w:uiPriority w:val="99"/>
    <w:semiHidden/>
    <w:unhideWhenUsed/>
    <w:rsid w:val="003255E3"/>
    <w:pPr>
      <w:spacing w:line="240" w:lineRule="auto"/>
    </w:pPr>
    <w:rPr>
      <w:sz w:val="20"/>
      <w:szCs w:val="20"/>
    </w:rPr>
  </w:style>
  <w:style w:type="character" w:customStyle="1" w:styleId="CommentTextChar">
    <w:name w:val="Comment Text Char"/>
    <w:link w:val="CommentText"/>
    <w:uiPriority w:val="99"/>
    <w:semiHidden/>
    <w:rsid w:val="003255E3"/>
    <w:rPr>
      <w:sz w:val="20"/>
      <w:szCs w:val="20"/>
    </w:rPr>
  </w:style>
  <w:style w:type="paragraph" w:styleId="CommentSubject">
    <w:name w:val="annotation subject"/>
    <w:basedOn w:val="CommentText"/>
    <w:next w:val="CommentText"/>
    <w:link w:val="CommentSubjectChar"/>
    <w:uiPriority w:val="99"/>
    <w:semiHidden/>
    <w:unhideWhenUsed/>
    <w:rsid w:val="003255E3"/>
    <w:rPr>
      <w:b/>
      <w:bCs/>
    </w:rPr>
  </w:style>
  <w:style w:type="character" w:customStyle="1" w:styleId="CommentSubjectChar">
    <w:name w:val="Comment Subject Char"/>
    <w:link w:val="CommentSubject"/>
    <w:uiPriority w:val="99"/>
    <w:semiHidden/>
    <w:rsid w:val="003255E3"/>
    <w:rPr>
      <w:b/>
      <w:bCs/>
      <w:sz w:val="20"/>
      <w:szCs w:val="20"/>
    </w:rPr>
  </w:style>
  <w:style w:type="character" w:customStyle="1" w:styleId="apple-converted-space">
    <w:name w:val="apple-converted-space"/>
    <w:basedOn w:val="DefaultParagraphFont"/>
    <w:rsid w:val="006142FA"/>
  </w:style>
  <w:style w:type="character" w:customStyle="1" w:styleId="Heading1Char">
    <w:name w:val="Heading 1 Char"/>
    <w:link w:val="Heading1"/>
    <w:uiPriority w:val="9"/>
    <w:rsid w:val="001A4112"/>
    <w:rPr>
      <w:rFonts w:ascii="Times New Roman" w:eastAsia="Times New Roman" w:hAnsi="Times New Roman"/>
      <w:b/>
      <w:bCs/>
      <w:kern w:val="36"/>
      <w:sz w:val="48"/>
      <w:szCs w:val="48"/>
    </w:rPr>
  </w:style>
  <w:style w:type="paragraph" w:customStyle="1" w:styleId="byline">
    <w:name w:val="byline"/>
    <w:basedOn w:val="Normal"/>
    <w:rsid w:val="0031464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D91986"/>
    <w:pPr>
      <w:autoSpaceDE w:val="0"/>
      <w:autoSpaceDN w:val="0"/>
      <w:adjustRightInd w:val="0"/>
    </w:pPr>
    <w:rPr>
      <w:rFonts w:cs="Calibri"/>
      <w:color w:val="000000"/>
      <w:sz w:val="24"/>
      <w:szCs w:val="24"/>
    </w:rPr>
  </w:style>
  <w:style w:type="character" w:customStyle="1" w:styleId="rwrro">
    <w:name w:val="rwrro"/>
    <w:basedOn w:val="DefaultParagraphFont"/>
    <w:rsid w:val="00E6642C"/>
    <w:rPr>
      <w:strike w:val="0"/>
      <w:dstrike w:val="0"/>
      <w:color w:val="3F52B8"/>
      <w:u w:val="none"/>
      <w:effect w:val="none"/>
    </w:rPr>
  </w:style>
  <w:style w:type="character" w:styleId="Strong">
    <w:name w:val="Strong"/>
    <w:basedOn w:val="DefaultParagraphFont"/>
    <w:uiPriority w:val="22"/>
    <w:qFormat/>
    <w:rsid w:val="00E6642C"/>
    <w:rPr>
      <w:b/>
      <w:bCs/>
    </w:rPr>
  </w:style>
  <w:style w:type="paragraph" w:styleId="NormalWeb">
    <w:name w:val="Normal (Web)"/>
    <w:basedOn w:val="Normal"/>
    <w:uiPriority w:val="99"/>
    <w:semiHidden/>
    <w:unhideWhenUsed/>
    <w:rsid w:val="00794D6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6518">
      <w:bodyDiv w:val="1"/>
      <w:marLeft w:val="0"/>
      <w:marRight w:val="0"/>
      <w:marTop w:val="0"/>
      <w:marBottom w:val="0"/>
      <w:divBdr>
        <w:top w:val="none" w:sz="0" w:space="0" w:color="auto"/>
        <w:left w:val="none" w:sz="0" w:space="0" w:color="auto"/>
        <w:bottom w:val="none" w:sz="0" w:space="0" w:color="auto"/>
        <w:right w:val="none" w:sz="0" w:space="0" w:color="auto"/>
      </w:divBdr>
    </w:div>
    <w:div w:id="456921231">
      <w:bodyDiv w:val="1"/>
      <w:marLeft w:val="0"/>
      <w:marRight w:val="0"/>
      <w:marTop w:val="0"/>
      <w:marBottom w:val="0"/>
      <w:divBdr>
        <w:top w:val="none" w:sz="0" w:space="0" w:color="auto"/>
        <w:left w:val="none" w:sz="0" w:space="0" w:color="auto"/>
        <w:bottom w:val="none" w:sz="0" w:space="0" w:color="auto"/>
        <w:right w:val="none" w:sz="0" w:space="0" w:color="auto"/>
      </w:divBdr>
      <w:divsChild>
        <w:div w:id="289633477">
          <w:marLeft w:val="720"/>
          <w:marRight w:val="0"/>
          <w:marTop w:val="0"/>
          <w:marBottom w:val="0"/>
          <w:divBdr>
            <w:top w:val="none" w:sz="0" w:space="0" w:color="auto"/>
            <w:left w:val="none" w:sz="0" w:space="0" w:color="auto"/>
            <w:bottom w:val="none" w:sz="0" w:space="0" w:color="auto"/>
            <w:right w:val="none" w:sz="0" w:space="0" w:color="auto"/>
          </w:divBdr>
        </w:div>
        <w:div w:id="1321301745">
          <w:marLeft w:val="720"/>
          <w:marRight w:val="0"/>
          <w:marTop w:val="0"/>
          <w:marBottom w:val="0"/>
          <w:divBdr>
            <w:top w:val="none" w:sz="0" w:space="0" w:color="auto"/>
            <w:left w:val="none" w:sz="0" w:space="0" w:color="auto"/>
            <w:bottom w:val="none" w:sz="0" w:space="0" w:color="auto"/>
            <w:right w:val="none" w:sz="0" w:space="0" w:color="auto"/>
          </w:divBdr>
        </w:div>
        <w:div w:id="1421831203">
          <w:marLeft w:val="0"/>
          <w:marRight w:val="0"/>
          <w:marTop w:val="0"/>
          <w:marBottom w:val="0"/>
          <w:divBdr>
            <w:top w:val="none" w:sz="0" w:space="0" w:color="auto"/>
            <w:left w:val="none" w:sz="0" w:space="0" w:color="auto"/>
            <w:bottom w:val="none" w:sz="0" w:space="0" w:color="auto"/>
            <w:right w:val="none" w:sz="0" w:space="0" w:color="auto"/>
          </w:divBdr>
        </w:div>
      </w:divsChild>
    </w:div>
    <w:div w:id="1064985581">
      <w:bodyDiv w:val="1"/>
      <w:marLeft w:val="0"/>
      <w:marRight w:val="0"/>
      <w:marTop w:val="0"/>
      <w:marBottom w:val="0"/>
      <w:divBdr>
        <w:top w:val="none" w:sz="0" w:space="0" w:color="auto"/>
        <w:left w:val="none" w:sz="0" w:space="0" w:color="auto"/>
        <w:bottom w:val="none" w:sz="0" w:space="0" w:color="auto"/>
        <w:right w:val="none" w:sz="0" w:space="0" w:color="auto"/>
      </w:divBdr>
    </w:div>
    <w:div w:id="1347247743">
      <w:bodyDiv w:val="1"/>
      <w:marLeft w:val="0"/>
      <w:marRight w:val="0"/>
      <w:marTop w:val="0"/>
      <w:marBottom w:val="0"/>
      <w:divBdr>
        <w:top w:val="none" w:sz="0" w:space="0" w:color="auto"/>
        <w:left w:val="none" w:sz="0" w:space="0" w:color="auto"/>
        <w:bottom w:val="none" w:sz="0" w:space="0" w:color="auto"/>
        <w:right w:val="none" w:sz="0" w:space="0" w:color="auto"/>
      </w:divBdr>
    </w:div>
    <w:div w:id="1784153149">
      <w:bodyDiv w:val="1"/>
      <w:marLeft w:val="0"/>
      <w:marRight w:val="0"/>
      <w:marTop w:val="0"/>
      <w:marBottom w:val="0"/>
      <w:divBdr>
        <w:top w:val="none" w:sz="0" w:space="0" w:color="auto"/>
        <w:left w:val="none" w:sz="0" w:space="0" w:color="auto"/>
        <w:bottom w:val="none" w:sz="0" w:space="0" w:color="auto"/>
        <w:right w:val="none" w:sz="0" w:space="0" w:color="auto"/>
      </w:divBdr>
    </w:div>
    <w:div w:id="19929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au.dk/en/" TargetMode="External"/><Relationship Id="rId13" Type="http://schemas.openxmlformats.org/officeDocument/2006/relationships/hyperlink" Target="http://www.ens.dk/info/tal-kort/statistik-nogletal/arlig-energistatistik" TargetMode="External"/><Relationship Id="rId18" Type="http://schemas.openxmlformats.org/officeDocument/2006/relationships/hyperlink" Target="https://www.gov.uk/government/consultations/electricity-market-reform" TargetMode="External"/><Relationship Id="rId26" Type="http://schemas.openxmlformats.org/officeDocument/2006/relationships/hyperlink" Target="http://www.ft.com/cms/s/c3e36312-ad84-11e1-97f3-00144feabdc0,Authorised=false.html?_i_location=http%3A%2F%2Fwww.ft.com%2Fcms%2Fs%2F0%2Fc3e36312-ad84-11e1-97f3-00144feabdc0.html%3Fsiteedition%3Duk&amp;siteedition=uk&amp;_i_referer=" TargetMode="External"/><Relationship Id="rId3" Type="http://schemas.openxmlformats.org/officeDocument/2006/relationships/settings" Target="settings.xml"/><Relationship Id="rId21" Type="http://schemas.openxmlformats.org/officeDocument/2006/relationships/hyperlink" Target="http://www.ens.dk/" TargetMode="External"/><Relationship Id="rId7" Type="http://schemas.openxmlformats.org/officeDocument/2006/relationships/hyperlink" Target="mailto:d.toke@abdn.ac.uk" TargetMode="External"/><Relationship Id="rId12" Type="http://schemas.openxmlformats.org/officeDocument/2006/relationships/hyperlink" Target="http://www.planningresource.co.uk/article/1348870/queens-speech-major-onshore-wind-farms-lose-nsip-status" TargetMode="External"/><Relationship Id="rId17" Type="http://schemas.openxmlformats.org/officeDocument/2006/relationships/hyperlink" Target="https://www.gov.uk/government/uploads/system/uploads/attachment_data/file/42636/1041-electricity-market-reform-condoc.pdf" TargetMode="External"/><Relationship Id="rId25" Type="http://schemas.openxmlformats.org/officeDocument/2006/relationships/hyperlink" Target="http://www.ens.dk/sites/ens.dk/files/politik/dansk-klima-energipolitik/klimakommissionen/groen-energi/groen%20energi%20DK%20screen%201sidet%20v2.pdf" TargetMode="External"/><Relationship Id="rId2" Type="http://schemas.openxmlformats.org/officeDocument/2006/relationships/styles" Target="styles.xml"/><Relationship Id="rId16" Type="http://schemas.openxmlformats.org/officeDocument/2006/relationships/hyperlink" Target="https://www.gov.uk/government/publications/community-energy-strategy" TargetMode="External"/><Relationship Id="rId20" Type="http://schemas.openxmlformats.org/officeDocument/2006/relationships/hyperlink" Target="http://www.publications.parliament.uk/pa/cm201213/cmselect/cmenergy/117/117.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78977/coalition_programme_for_government.pdf" TargetMode="External"/><Relationship Id="rId24" Type="http://schemas.openxmlformats.org/officeDocument/2006/relationships/hyperlink" Target="http://www.direct.gov.uk/prod_consum_dg/groups/dg_digitalassets/@dg/@en/documents/digitalasset/dg_186447.pdf" TargetMode="External"/><Relationship Id="rId5" Type="http://schemas.openxmlformats.org/officeDocument/2006/relationships/footnotes" Target="footnotes.xml"/><Relationship Id="rId15" Type="http://schemas.openxmlformats.org/officeDocument/2006/relationships/hyperlink" Target="https://www.og.decc.gov.uk/EIP/pages/recent.htm" TargetMode="External"/><Relationship Id="rId23" Type="http://schemas.openxmlformats.org/officeDocument/2006/relationships/hyperlink" Target="http://www.ens.dk/politik/dansk-klima-energipolitik/politiske-aftaler-pa-energiomradet" TargetMode="External"/><Relationship Id="rId28" Type="http://schemas.openxmlformats.org/officeDocument/2006/relationships/hyperlink" Target="http://www.theguardian.com/environment/2011/oct/28/solar-subsidies-cut-half" TargetMode="External"/><Relationship Id="rId10" Type="http://schemas.openxmlformats.org/officeDocument/2006/relationships/hyperlink" Target="http://www.ens.dk/" TargetMode="External"/><Relationship Id="rId19" Type="http://schemas.openxmlformats.org/officeDocument/2006/relationships/hyperlink" Target="http://www.ens.dk/politik/dansk-klima-energipolitik/politiske-aftaler-pa-energiomradet/energiaftalen-22-marts-201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on@envs.dk" TargetMode="External"/><Relationship Id="rId14" Type="http://schemas.openxmlformats.org/officeDocument/2006/relationships/hyperlink" Target="http://www.carolinelucas.com/assets/files/localparties/brighton/pdf/CCC_replies_to_Secondments_FOI(edited).pdf" TargetMode="External"/><Relationship Id="rId22" Type="http://schemas.openxmlformats.org/officeDocument/2006/relationships/hyperlink" Target="http://www.ens.dk/sites/ens.dk/files/politik/dansk-klima-energipolitik/politiske-aftaler-paa-energiomraadet/energiaftalen-22-marts-2012/Vind%20PPT.pdf" TargetMode="External"/><Relationship Id="rId27" Type="http://schemas.openxmlformats.org/officeDocument/2006/relationships/hyperlink" Target="https://www.retsinformation.dk/Forms/R0710.aspx?id=12296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10020</Words>
  <Characters>57114</Characters>
  <Application>Microsoft Office Word</Application>
  <DocSecurity>0</DocSecurity>
  <Lines>475</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DMU</Company>
  <LinksUpToDate>false</LinksUpToDate>
  <CharactersWithSpaces>67001</CharactersWithSpaces>
  <SharedDoc>false</SharedDoc>
  <HLinks>
    <vt:vector size="114" baseType="variant">
      <vt:variant>
        <vt:i4>7208998</vt:i4>
      </vt:variant>
      <vt:variant>
        <vt:i4>54</vt:i4>
      </vt:variant>
      <vt:variant>
        <vt:i4>0</vt:i4>
      </vt:variant>
      <vt:variant>
        <vt:i4>5</vt:i4>
      </vt:variant>
      <vt:variant>
        <vt:lpwstr>http://www.theguardian.com/environment/2011/oct/28/solar-subsidies-cut-half</vt:lpwstr>
      </vt:variant>
      <vt:variant>
        <vt:lpwstr/>
      </vt:variant>
      <vt:variant>
        <vt:i4>65600</vt:i4>
      </vt:variant>
      <vt:variant>
        <vt:i4>51</vt:i4>
      </vt:variant>
      <vt:variant>
        <vt:i4>0</vt:i4>
      </vt:variant>
      <vt:variant>
        <vt:i4>5</vt:i4>
      </vt:variant>
      <vt:variant>
        <vt:lpwstr>https://www.retsinformation.dk/Forms/R0710.aspx?id=122961</vt:lpwstr>
      </vt:variant>
      <vt:variant>
        <vt:lpwstr/>
      </vt:variant>
      <vt:variant>
        <vt:i4>6946923</vt:i4>
      </vt:variant>
      <vt:variant>
        <vt:i4>48</vt:i4>
      </vt:variant>
      <vt:variant>
        <vt:i4>0</vt:i4>
      </vt:variant>
      <vt:variant>
        <vt:i4>5</vt:i4>
      </vt:variant>
      <vt:variant>
        <vt:lpwstr>http://www.ft.com/cms/s/c3e36312-ad84-11e1-97f3-00144feabdc0,Authorised=false.html?_i_location=http%3A%2F%2Fwww.ft.com%2Fcms%2Fs%2F0%2Fc3e36312-ad84-11e1-97f3-00144feabdc0.html%3Fsiteedition%3Duk&amp;siteedition=uk&amp;_i_referer=</vt:lpwstr>
      </vt:variant>
      <vt:variant>
        <vt:lpwstr>ixzz2xIXQAKlV</vt:lpwstr>
      </vt:variant>
      <vt:variant>
        <vt:i4>7536697</vt:i4>
      </vt:variant>
      <vt:variant>
        <vt:i4>45</vt:i4>
      </vt:variant>
      <vt:variant>
        <vt:i4>0</vt:i4>
      </vt:variant>
      <vt:variant>
        <vt:i4>5</vt:i4>
      </vt:variant>
      <vt:variant>
        <vt:lpwstr>http://www.direct.gov.uk/prod_consum_dg/groups/dg_digitalassets/@dg/@en/documents/digitalasset/dg_186447.pdf</vt:lpwstr>
      </vt:variant>
      <vt:variant>
        <vt:lpwstr/>
      </vt:variant>
      <vt:variant>
        <vt:i4>3</vt:i4>
      </vt:variant>
      <vt:variant>
        <vt:i4>42</vt:i4>
      </vt:variant>
      <vt:variant>
        <vt:i4>0</vt:i4>
      </vt:variant>
      <vt:variant>
        <vt:i4>5</vt:i4>
      </vt:variant>
      <vt:variant>
        <vt:lpwstr>http://www.ens.dk/sites/ens.dk/files/politik/dansk-klima-energipolitik/politiske-aftaler-paa-energiomraadet/energiaftalen-22-marts-2012/Vind PPT.pdf</vt:lpwstr>
      </vt:variant>
      <vt:variant>
        <vt:lpwstr/>
      </vt:variant>
      <vt:variant>
        <vt:i4>7733371</vt:i4>
      </vt:variant>
      <vt:variant>
        <vt:i4>39</vt:i4>
      </vt:variant>
      <vt:variant>
        <vt:i4>0</vt:i4>
      </vt:variant>
      <vt:variant>
        <vt:i4>5</vt:i4>
      </vt:variant>
      <vt:variant>
        <vt:lpwstr>http://www.ens.dk/</vt:lpwstr>
      </vt:variant>
      <vt:variant>
        <vt:lpwstr/>
      </vt:variant>
      <vt:variant>
        <vt:i4>8192042</vt:i4>
      </vt:variant>
      <vt:variant>
        <vt:i4>36</vt:i4>
      </vt:variant>
      <vt:variant>
        <vt:i4>0</vt:i4>
      </vt:variant>
      <vt:variant>
        <vt:i4>5</vt:i4>
      </vt:variant>
      <vt:variant>
        <vt:lpwstr>http://www.ens.dk/politik/dansk-klima-energipolitik/politiske-aftaler-pa-energiomradet</vt:lpwstr>
      </vt:variant>
      <vt:variant>
        <vt:lpwstr/>
      </vt:variant>
      <vt:variant>
        <vt:i4>7798820</vt:i4>
      </vt:variant>
      <vt:variant>
        <vt:i4>33</vt:i4>
      </vt:variant>
      <vt:variant>
        <vt:i4>0</vt:i4>
      </vt:variant>
      <vt:variant>
        <vt:i4>5</vt:i4>
      </vt:variant>
      <vt:variant>
        <vt:lpwstr>http://www.publications.parliament.uk/pa/cm201213/cmselect/cmenergy/117/117.pdf</vt:lpwstr>
      </vt:variant>
      <vt:variant>
        <vt:lpwstr/>
      </vt:variant>
      <vt:variant>
        <vt:i4>2621538</vt:i4>
      </vt:variant>
      <vt:variant>
        <vt:i4>30</vt:i4>
      </vt:variant>
      <vt:variant>
        <vt:i4>0</vt:i4>
      </vt:variant>
      <vt:variant>
        <vt:i4>5</vt:i4>
      </vt:variant>
      <vt:variant>
        <vt:lpwstr>http://www.ens.dk/politik/dansk-klima-energipolitik/politiske-aftaler-pa-energiomradet/energiaftalen-22-marts-2012</vt:lpwstr>
      </vt:variant>
      <vt:variant>
        <vt:lpwstr/>
      </vt:variant>
      <vt:variant>
        <vt:i4>4915274</vt:i4>
      </vt:variant>
      <vt:variant>
        <vt:i4>27</vt:i4>
      </vt:variant>
      <vt:variant>
        <vt:i4>0</vt:i4>
      </vt:variant>
      <vt:variant>
        <vt:i4>5</vt:i4>
      </vt:variant>
      <vt:variant>
        <vt:lpwstr>https://www.gov.uk/government/consultations/electricity-market-reform</vt:lpwstr>
      </vt:variant>
      <vt:variant>
        <vt:lpwstr/>
      </vt:variant>
      <vt:variant>
        <vt:i4>2555970</vt:i4>
      </vt:variant>
      <vt:variant>
        <vt:i4>24</vt:i4>
      </vt:variant>
      <vt:variant>
        <vt:i4>0</vt:i4>
      </vt:variant>
      <vt:variant>
        <vt:i4>5</vt:i4>
      </vt:variant>
      <vt:variant>
        <vt:lpwstr>https://www.gov.uk/government/uploads/system/uploads/attachment_data/file/42636/1041-electricity-market-reform-condoc.pdf</vt:lpwstr>
      </vt:variant>
      <vt:variant>
        <vt:lpwstr/>
      </vt:variant>
      <vt:variant>
        <vt:i4>1507342</vt:i4>
      </vt:variant>
      <vt:variant>
        <vt:i4>21</vt:i4>
      </vt:variant>
      <vt:variant>
        <vt:i4>0</vt:i4>
      </vt:variant>
      <vt:variant>
        <vt:i4>5</vt:i4>
      </vt:variant>
      <vt:variant>
        <vt:lpwstr>https://www.gov.uk/government/publications/community-energy-strategy</vt:lpwstr>
      </vt:variant>
      <vt:variant>
        <vt:lpwstr/>
      </vt:variant>
      <vt:variant>
        <vt:i4>7864381</vt:i4>
      </vt:variant>
      <vt:variant>
        <vt:i4>18</vt:i4>
      </vt:variant>
      <vt:variant>
        <vt:i4>0</vt:i4>
      </vt:variant>
      <vt:variant>
        <vt:i4>5</vt:i4>
      </vt:variant>
      <vt:variant>
        <vt:lpwstr>https://www.og.decc.gov.uk/EIP/pages/recent.htm</vt:lpwstr>
      </vt:variant>
      <vt:variant>
        <vt:lpwstr/>
      </vt:variant>
      <vt:variant>
        <vt:i4>6881403</vt:i4>
      </vt:variant>
      <vt:variant>
        <vt:i4>15</vt:i4>
      </vt:variant>
      <vt:variant>
        <vt:i4>0</vt:i4>
      </vt:variant>
      <vt:variant>
        <vt:i4>5</vt:i4>
      </vt:variant>
      <vt:variant>
        <vt:lpwstr>http://www.carolinelucas.com/assets/files/localparties/brighton/pdf/CCC_replies_to_Secondments_FOI(edited).pdf</vt:lpwstr>
      </vt:variant>
      <vt:variant>
        <vt:lpwstr/>
      </vt:variant>
      <vt:variant>
        <vt:i4>1835027</vt:i4>
      </vt:variant>
      <vt:variant>
        <vt:i4>12</vt:i4>
      </vt:variant>
      <vt:variant>
        <vt:i4>0</vt:i4>
      </vt:variant>
      <vt:variant>
        <vt:i4>5</vt:i4>
      </vt:variant>
      <vt:variant>
        <vt:lpwstr>http://www.ens.dk/info/tal-kort/statistik-nogletal/arlig-energistatistik</vt:lpwstr>
      </vt:variant>
      <vt:variant>
        <vt:lpwstr/>
      </vt:variant>
      <vt:variant>
        <vt:i4>7733371</vt:i4>
      </vt:variant>
      <vt:variant>
        <vt:i4>9</vt:i4>
      </vt:variant>
      <vt:variant>
        <vt:i4>0</vt:i4>
      </vt:variant>
      <vt:variant>
        <vt:i4>5</vt:i4>
      </vt:variant>
      <vt:variant>
        <vt:lpwstr>http://www.ens.dk/</vt:lpwstr>
      </vt:variant>
      <vt:variant>
        <vt:lpwstr/>
      </vt:variant>
      <vt:variant>
        <vt:i4>1114150</vt:i4>
      </vt:variant>
      <vt:variant>
        <vt:i4>6</vt:i4>
      </vt:variant>
      <vt:variant>
        <vt:i4>0</vt:i4>
      </vt:variant>
      <vt:variant>
        <vt:i4>5</vt:i4>
      </vt:variant>
      <vt:variant>
        <vt:lpwstr>mailto:hon@dmu.dk</vt:lpwstr>
      </vt:variant>
      <vt:variant>
        <vt:lpwstr/>
      </vt:variant>
      <vt:variant>
        <vt:i4>2424891</vt:i4>
      </vt:variant>
      <vt:variant>
        <vt:i4>3</vt:i4>
      </vt:variant>
      <vt:variant>
        <vt:i4>0</vt:i4>
      </vt:variant>
      <vt:variant>
        <vt:i4>5</vt:i4>
      </vt:variant>
      <vt:variant>
        <vt:lpwstr>http://ps.au.dk/en/</vt:lpwstr>
      </vt:variant>
      <vt:variant>
        <vt:lpwstr/>
      </vt:variant>
      <vt:variant>
        <vt:i4>7405651</vt:i4>
      </vt:variant>
      <vt:variant>
        <vt:i4>0</vt:i4>
      </vt:variant>
      <vt:variant>
        <vt:i4>0</vt:i4>
      </vt:variant>
      <vt:variant>
        <vt:i4>5</vt:i4>
      </vt:variant>
      <vt:variant>
        <vt:lpwstr>mailto:d.toke@abdn.ac.uk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Toke, David</cp:lastModifiedBy>
  <cp:revision>2</cp:revision>
  <dcterms:created xsi:type="dcterms:W3CDTF">2017-05-10T09:03:00Z</dcterms:created>
  <dcterms:modified xsi:type="dcterms:W3CDTF">2017-05-10T09:03:00Z</dcterms:modified>
</cp:coreProperties>
</file>