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CF" w:rsidRPr="00BD60F0" w:rsidRDefault="00E455CF" w:rsidP="00E455CF">
      <w:pPr>
        <w:jc w:val="left"/>
      </w:pPr>
      <w:r w:rsidRPr="00BD60F0">
        <w:t xml:space="preserve">Title: </w:t>
      </w:r>
    </w:p>
    <w:p w:rsidR="00E455CF" w:rsidRPr="00BD60F0" w:rsidRDefault="00E455CF" w:rsidP="00E455CF">
      <w:pPr>
        <w:jc w:val="left"/>
      </w:pPr>
      <w:r w:rsidRPr="00BD60F0">
        <w:t>Specialist clinicians' practice and views regarding methadone/buprenorphine supervision and contingency management: a national survey</w:t>
      </w:r>
    </w:p>
    <w:p w:rsidR="00E455CF" w:rsidRPr="00BD60F0" w:rsidRDefault="00E455CF" w:rsidP="00E455CF">
      <w:pPr>
        <w:jc w:val="left"/>
      </w:pPr>
    </w:p>
    <w:p w:rsidR="00E455CF" w:rsidRPr="00BD60F0" w:rsidRDefault="00E455CF" w:rsidP="00E455CF">
      <w:pPr>
        <w:jc w:val="left"/>
      </w:pPr>
      <w:r w:rsidRPr="00BD60F0">
        <w:t>Authors:</w:t>
      </w:r>
    </w:p>
    <w:p w:rsidR="00E455CF" w:rsidRPr="00BD60F0" w:rsidRDefault="00E455CF" w:rsidP="00E455CF">
      <w:pPr>
        <w:jc w:val="left"/>
      </w:pPr>
      <w:r w:rsidRPr="00BD60F0">
        <w:t>Niamh A Fingleton, BSc, MSc, Research Assistant</w:t>
      </w:r>
      <w:r w:rsidRPr="00BD60F0">
        <w:rPr>
          <w:vertAlign w:val="superscript"/>
        </w:rPr>
        <w:t>1</w:t>
      </w:r>
    </w:p>
    <w:p w:rsidR="00E455CF" w:rsidRPr="00BD60F0" w:rsidRDefault="00E455CF" w:rsidP="00E455CF">
      <w:pPr>
        <w:jc w:val="left"/>
      </w:pPr>
      <w:r w:rsidRPr="00BD60F0">
        <w:t xml:space="preserve">Catriona I Matheson, </w:t>
      </w:r>
      <w:r w:rsidRPr="00BD60F0">
        <w:rPr>
          <w:shd w:val="clear" w:color="auto" w:fill="FFFFFF"/>
        </w:rPr>
        <w:t>BSc, MSc, PhD, Senior Research Fellow</w:t>
      </w:r>
      <w:r w:rsidRPr="00BD60F0">
        <w:t xml:space="preserve"> </w:t>
      </w:r>
      <w:r w:rsidRPr="00BD60F0">
        <w:rPr>
          <w:vertAlign w:val="superscript"/>
        </w:rPr>
        <w:t>1</w:t>
      </w:r>
    </w:p>
    <w:p w:rsidR="00E455CF" w:rsidRPr="00BD60F0" w:rsidRDefault="00E455CF" w:rsidP="00E455CF">
      <w:pPr>
        <w:jc w:val="left"/>
      </w:pPr>
      <w:r w:rsidRPr="00BD60F0">
        <w:t xml:space="preserve">Richard C Holland, </w:t>
      </w:r>
      <w:r w:rsidRPr="00BD60F0">
        <w:rPr>
          <w:shd w:val="clear" w:color="auto" w:fill="FFFFFF"/>
        </w:rPr>
        <w:t xml:space="preserve">BM, </w:t>
      </w:r>
      <w:proofErr w:type="spellStart"/>
      <w:r w:rsidRPr="00BD60F0">
        <w:rPr>
          <w:shd w:val="clear" w:color="auto" w:fill="FFFFFF"/>
        </w:rPr>
        <w:t>BCh</w:t>
      </w:r>
      <w:proofErr w:type="spellEnd"/>
      <w:r w:rsidRPr="00BD60F0">
        <w:rPr>
          <w:shd w:val="clear" w:color="auto" w:fill="FFFFFF"/>
        </w:rPr>
        <w:t>, BA, DPH, DA, FFPH, PhD, Professor of Public Health Medicine</w:t>
      </w:r>
      <w:r w:rsidRPr="00BD60F0">
        <w:rPr>
          <w:vertAlign w:val="superscript"/>
        </w:rPr>
        <w:t>2</w:t>
      </w:r>
    </w:p>
    <w:p w:rsidR="00E455CF" w:rsidRPr="00BD60F0" w:rsidRDefault="00E455CF" w:rsidP="00E455CF">
      <w:pPr>
        <w:jc w:val="left"/>
      </w:pPr>
    </w:p>
    <w:p w:rsidR="00E455CF" w:rsidRPr="00BD60F0" w:rsidRDefault="00E455CF" w:rsidP="00E455CF">
      <w:pPr>
        <w:jc w:val="left"/>
      </w:pPr>
      <w:r w:rsidRPr="00BD60F0">
        <w:t>Institutional addresses:</w:t>
      </w:r>
    </w:p>
    <w:p w:rsidR="00E455CF" w:rsidRPr="00BD60F0" w:rsidRDefault="00E455CF" w:rsidP="00E455CF">
      <w:pPr>
        <w:jc w:val="left"/>
        <w:rPr>
          <w:noProof/>
        </w:rPr>
      </w:pPr>
      <w:proofErr w:type="gramStart"/>
      <w:r w:rsidRPr="00BD60F0">
        <w:rPr>
          <w:vertAlign w:val="superscript"/>
        </w:rPr>
        <w:t>1</w:t>
      </w:r>
      <w:r w:rsidRPr="00BD60F0">
        <w:rPr>
          <w:noProof/>
        </w:rPr>
        <w:t>Academic Primary Care, University of Aberdeen, Polwarth Building.</w:t>
      </w:r>
      <w:proofErr w:type="gramEnd"/>
      <w:r w:rsidRPr="00BD60F0">
        <w:rPr>
          <w:noProof/>
        </w:rPr>
        <w:t xml:space="preserve"> Foresterhill, Aberdeen, AB25 2ZD, UK</w:t>
      </w:r>
    </w:p>
    <w:p w:rsidR="00E455CF" w:rsidRPr="00BD60F0" w:rsidRDefault="00E455CF" w:rsidP="00E455CF">
      <w:pPr>
        <w:jc w:val="left"/>
        <w:rPr>
          <w:color w:val="000000" w:themeColor="text1"/>
        </w:rPr>
      </w:pPr>
      <w:r w:rsidRPr="00BD60F0">
        <w:rPr>
          <w:color w:val="000000" w:themeColor="text1"/>
          <w:vertAlign w:val="superscript"/>
        </w:rPr>
        <w:t>2</w:t>
      </w:r>
      <w:r w:rsidRPr="00BD60F0">
        <w:rPr>
          <w:shd w:val="clear" w:color="auto" w:fill="FFFFFF"/>
        </w:rPr>
        <w:t>Norwich Medical School, University of East Anglia, Norwich Research Park, Norwich, Norfolk, NR4 7TJ, UK</w:t>
      </w:r>
    </w:p>
    <w:p w:rsidR="00E455CF" w:rsidRPr="00BD60F0" w:rsidRDefault="00E455CF" w:rsidP="00E455CF">
      <w:pPr>
        <w:jc w:val="left"/>
      </w:pPr>
    </w:p>
    <w:p w:rsidR="00E455CF" w:rsidRPr="00BD60F0" w:rsidRDefault="00E455CF" w:rsidP="00E455CF">
      <w:pPr>
        <w:jc w:val="left"/>
      </w:pPr>
      <w:r w:rsidRPr="00BD60F0">
        <w:t>Abbreviated title:</w:t>
      </w:r>
    </w:p>
    <w:p w:rsidR="00E455CF" w:rsidRPr="00BD60F0" w:rsidRDefault="00E455CF" w:rsidP="00E455CF">
      <w:pPr>
        <w:jc w:val="left"/>
      </w:pPr>
      <w:r w:rsidRPr="00BD60F0">
        <w:t>Methadone supervision and contingency management</w:t>
      </w:r>
    </w:p>
    <w:p w:rsidR="00E455CF" w:rsidRPr="00BD60F0" w:rsidRDefault="00E455CF" w:rsidP="00E455CF">
      <w:pPr>
        <w:jc w:val="left"/>
      </w:pPr>
    </w:p>
    <w:p w:rsidR="00E455CF" w:rsidRPr="00BD60F0" w:rsidRDefault="00E455CF" w:rsidP="00E455CF">
      <w:pPr>
        <w:jc w:val="left"/>
      </w:pPr>
    </w:p>
    <w:p w:rsidR="00E455CF" w:rsidRPr="00BD60F0" w:rsidRDefault="00E455CF" w:rsidP="00E455CF">
      <w:pPr>
        <w:jc w:val="left"/>
      </w:pPr>
    </w:p>
    <w:p w:rsidR="00E455CF" w:rsidRPr="00BD60F0" w:rsidRDefault="00E455CF" w:rsidP="00E455CF">
      <w:pPr>
        <w:jc w:val="left"/>
      </w:pPr>
    </w:p>
    <w:p w:rsidR="00E455CF" w:rsidRDefault="00E455CF" w:rsidP="00E455CF">
      <w:pPr>
        <w:jc w:val="left"/>
      </w:pPr>
    </w:p>
    <w:p w:rsidR="00E455CF" w:rsidRDefault="00E455CF" w:rsidP="00E455CF">
      <w:pPr>
        <w:jc w:val="left"/>
      </w:pPr>
    </w:p>
    <w:p w:rsidR="00E455CF" w:rsidRDefault="00E455CF" w:rsidP="00E455CF">
      <w:pPr>
        <w:jc w:val="left"/>
      </w:pPr>
    </w:p>
    <w:p w:rsidR="00E455CF" w:rsidRDefault="00E455CF" w:rsidP="00E455CF">
      <w:pPr>
        <w:jc w:val="left"/>
      </w:pPr>
    </w:p>
    <w:p w:rsidR="00E455CF" w:rsidRDefault="00E455CF" w:rsidP="00E455CF">
      <w:pPr>
        <w:jc w:val="left"/>
      </w:pPr>
    </w:p>
    <w:p w:rsidR="00E455CF" w:rsidRDefault="00E455CF" w:rsidP="00E455CF">
      <w:pPr>
        <w:jc w:val="left"/>
      </w:pPr>
    </w:p>
    <w:p w:rsidR="00E455CF" w:rsidRDefault="00E455CF" w:rsidP="00E455CF">
      <w:pPr>
        <w:jc w:val="left"/>
      </w:pPr>
    </w:p>
    <w:p w:rsidR="00E455CF" w:rsidRDefault="00E455CF" w:rsidP="00E455CF">
      <w:pPr>
        <w:jc w:val="left"/>
      </w:pPr>
    </w:p>
    <w:p w:rsidR="00E455CF" w:rsidRPr="00BD60F0" w:rsidRDefault="00E455CF" w:rsidP="00E455CF">
      <w:pPr>
        <w:jc w:val="left"/>
      </w:pPr>
    </w:p>
    <w:p w:rsidR="00E455CF" w:rsidRPr="00BD60F0" w:rsidRDefault="00E455CF" w:rsidP="00E455CF">
      <w:pPr>
        <w:jc w:val="left"/>
      </w:pPr>
    </w:p>
    <w:p w:rsidR="00E455CF" w:rsidRPr="00BD60F0" w:rsidRDefault="00E455CF" w:rsidP="00E455CF">
      <w:pPr>
        <w:jc w:val="left"/>
      </w:pPr>
      <w:r w:rsidRPr="00BD60F0">
        <w:t>Correspondence:</w:t>
      </w:r>
    </w:p>
    <w:p w:rsidR="00E455CF" w:rsidRPr="00BD60F0" w:rsidRDefault="00E455CF" w:rsidP="00E455CF">
      <w:pPr>
        <w:jc w:val="left"/>
        <w:rPr>
          <w:noProof/>
        </w:rPr>
      </w:pPr>
      <w:proofErr w:type="gramStart"/>
      <w:r w:rsidRPr="00BD60F0">
        <w:t xml:space="preserve">Niamh Fingleton, </w:t>
      </w:r>
      <w:r w:rsidRPr="00BD60F0">
        <w:rPr>
          <w:noProof/>
        </w:rPr>
        <w:t>Academic Primary Care, University of Aberdeen, Polwarth Building.</w:t>
      </w:r>
      <w:proofErr w:type="gramEnd"/>
      <w:r w:rsidRPr="00BD60F0">
        <w:rPr>
          <w:noProof/>
        </w:rPr>
        <w:t xml:space="preserve"> Foresterhill, Aberdeen, AB25 2ZD, UK</w:t>
      </w:r>
    </w:p>
    <w:p w:rsidR="00E455CF" w:rsidRPr="00BD60F0" w:rsidRDefault="00E455CF" w:rsidP="00E455CF">
      <w:pPr>
        <w:jc w:val="left"/>
      </w:pPr>
      <w:r w:rsidRPr="00BD60F0">
        <w:rPr>
          <w:noProof/>
        </w:rPr>
        <w:t xml:space="preserve">Tel: </w:t>
      </w:r>
      <w:r w:rsidRPr="00BD60F0">
        <w:t>01224 437206</w:t>
      </w:r>
    </w:p>
    <w:p w:rsidR="00E455CF" w:rsidRPr="00C075E9" w:rsidRDefault="00E455CF" w:rsidP="00E455CF">
      <w:pPr>
        <w:jc w:val="left"/>
      </w:pPr>
      <w:r w:rsidRPr="00BD60F0">
        <w:t>E-mail: n.fingleton@abdn.ac.uk</w:t>
      </w:r>
    </w:p>
    <w:p w:rsidR="00BD60F0" w:rsidRPr="000767EA" w:rsidRDefault="00BD60F0" w:rsidP="000767EA">
      <w:pPr>
        <w:jc w:val="left"/>
        <w:rPr>
          <w:color w:val="000000"/>
        </w:rPr>
      </w:pPr>
      <w:r w:rsidRPr="00BD60F0">
        <w:lastRenderedPageBreak/>
        <w:t xml:space="preserve">Specialist clinicians' practice and views regarding methadone/buprenorphine supervision </w:t>
      </w:r>
      <w:proofErr w:type="gramStart"/>
      <w:r w:rsidRPr="00BD60F0">
        <w:t>and</w:t>
      </w:r>
      <w:proofErr w:type="gramEnd"/>
      <w:r w:rsidRPr="00BD60F0">
        <w:t xml:space="preserve"> contingency management: a national survey</w:t>
      </w:r>
    </w:p>
    <w:p w:rsidR="009575C6" w:rsidRPr="0087349B" w:rsidRDefault="009575C6" w:rsidP="00284448"/>
    <w:p w:rsidR="009575C6" w:rsidRPr="00BD60F0" w:rsidRDefault="009575C6" w:rsidP="00284448">
      <w:r w:rsidRPr="00BD60F0">
        <w:t>Aims and methods</w:t>
      </w:r>
      <w:r w:rsidR="0087349B" w:rsidRPr="00BD60F0">
        <w:t xml:space="preserve">: </w:t>
      </w:r>
      <w:r w:rsidRPr="00BD60F0">
        <w:t>The aim of the study was to determine the current models of supervised consumption of</w:t>
      </w:r>
      <w:r w:rsidR="003D270B">
        <w:t xml:space="preserve"> methadone/buprenorphine practis</w:t>
      </w:r>
      <w:r w:rsidRPr="00BD60F0">
        <w:t xml:space="preserve">ed, and to establish the extent to which contingency management is used, and in what forms. A postal questionnaire was sent to all lead specialist clinicians in the field of substance misuse in England in 2010 (n=194). </w:t>
      </w:r>
    </w:p>
    <w:p w:rsidR="009575C6" w:rsidRPr="00BD60F0" w:rsidRDefault="009575C6" w:rsidP="00284448"/>
    <w:p w:rsidR="009575C6" w:rsidRPr="00BD60F0" w:rsidRDefault="009575C6" w:rsidP="00284448">
      <w:r w:rsidRPr="00BD60F0">
        <w:t>Results</w:t>
      </w:r>
      <w:r w:rsidR="0087349B" w:rsidRPr="00BD60F0">
        <w:t xml:space="preserve">: </w:t>
      </w:r>
      <w:r w:rsidRPr="00BD60F0">
        <w:t>The response rate was 66% (n=129). Clinicians generally supervised patients for a period of three months, though considerable flexibility was used depending on individual circumstances. The majority of patients consumed their methadone/buprenorphine on pharmacy premises six days per week. Supervised consumption arrangements were believed by respondents to cause a minority of patients to drop out of treatment, and prevent a minority from starting treatment. Contingency management is widely used throughout England, with the most common forms relating to changes in supervision or dispensing arrangements.</w:t>
      </w:r>
    </w:p>
    <w:p w:rsidR="009575C6" w:rsidRPr="00BD60F0" w:rsidRDefault="009575C6" w:rsidP="00284448"/>
    <w:p w:rsidR="009575C6" w:rsidRDefault="0087349B" w:rsidP="00284448">
      <w:r w:rsidRPr="00BD60F0">
        <w:t xml:space="preserve">Conclusion: </w:t>
      </w:r>
      <w:r w:rsidR="009575C6" w:rsidRPr="00BD60F0">
        <w:t>There</w:t>
      </w:r>
      <w:r w:rsidR="009575C6" w:rsidRPr="0087349B">
        <w:t xml:space="preserve"> is marked heterogeneity in clinicians’ practice of supervised consumption, suggesting uncertainty regarding the optimal approach. Further research, such as an RCT, is required.</w:t>
      </w:r>
    </w:p>
    <w:p w:rsidR="00BD60F0" w:rsidRDefault="00BD60F0" w:rsidP="00284448"/>
    <w:p w:rsidR="00BD60F0" w:rsidRPr="0087349B" w:rsidRDefault="00BD60F0" w:rsidP="00284448">
      <w:r>
        <w:t>Keywords: opiate dependence, supervised consumption, contingency management</w:t>
      </w:r>
    </w:p>
    <w:p w:rsidR="00BD60F0" w:rsidRPr="00C075E9" w:rsidRDefault="009575C6" w:rsidP="00284448">
      <w:pPr>
        <w:pStyle w:val="Heading1"/>
      </w:pPr>
      <w:r w:rsidRPr="001D2938">
        <w:rPr>
          <w:rFonts w:ascii="Calibri" w:hAnsi="Calibri"/>
        </w:rPr>
        <w:br w:type="page"/>
      </w:r>
      <w:r w:rsidR="00BD60F0" w:rsidRPr="00C075E9">
        <w:lastRenderedPageBreak/>
        <w:t>Specialist clinicians' practice and views regarding methadone/buprenorphine supervision and contingency management: a national survey</w:t>
      </w:r>
    </w:p>
    <w:p w:rsidR="00BD60F0" w:rsidRPr="00C075E9" w:rsidRDefault="00BD60F0" w:rsidP="00284448"/>
    <w:p w:rsidR="009575C6" w:rsidRPr="00284448" w:rsidRDefault="009575C6" w:rsidP="00284448">
      <w:pPr>
        <w:pStyle w:val="Heading2"/>
      </w:pPr>
      <w:r w:rsidRPr="00284448">
        <w:t>Introduction</w:t>
      </w:r>
    </w:p>
    <w:p w:rsidR="009575C6" w:rsidRPr="00C075E9" w:rsidRDefault="009575C6" w:rsidP="00284448">
      <w:r w:rsidRPr="00C075E9">
        <w:t xml:space="preserve">Heroin misuse presents a serious problem in the </w:t>
      </w:r>
      <w:smartTag w:uri="urn:schemas-microsoft-com:office:smarttags" w:element="country-region">
        <w:smartTag w:uri="urn:schemas-microsoft-com:office:smarttags" w:element="place">
          <w:r w:rsidRPr="00C075E9">
            <w:t>UK</w:t>
          </w:r>
        </w:smartTag>
      </w:smartTag>
      <w:r w:rsidRPr="00C075E9">
        <w:t>. The mainstay of treatment is maintenance therapy, usually in the form of methadone. Clinical guidance in the UK promotes the</w:t>
      </w:r>
      <w:r w:rsidR="000C206B">
        <w:t xml:space="preserve"> observation of</w:t>
      </w:r>
      <w:r w:rsidRPr="00C075E9">
        <w:t xml:space="preserve"> methadone consumption on pharmacy</w:t>
      </w:r>
      <w:r w:rsidR="00146A8E">
        <w:t xml:space="preserve"> or clinic</w:t>
      </w:r>
      <w:r w:rsidRPr="00C075E9">
        <w:t xml:space="preserve"> premises </w:t>
      </w:r>
      <w:r w:rsidR="000C206B">
        <w:t xml:space="preserve">by a pharmacist or member of clinic staff </w:t>
      </w:r>
      <w:r w:rsidRPr="00C075E9">
        <w:t>to ensure patients take their prescribed medication, and to prevent the diversion of methadone</w:t>
      </w:r>
      <w:r w:rsidR="00146A8E">
        <w:t>; this is known as supervised consumption or consumption on premises</w:t>
      </w:r>
      <w:r w:rsidR="000C206B">
        <w:t xml:space="preserve"> and is stipulated on the prescription as a condition of treatment</w:t>
      </w:r>
      <w:r w:rsidRPr="00C075E9">
        <w:t xml:space="preserve"> However, there is a lack of research from which to establish the optimal practice in relation to the supervised consumption of </w:t>
      </w:r>
      <w:r w:rsidR="000C206B">
        <w:t xml:space="preserve">opiate </w:t>
      </w:r>
      <w:r w:rsidRPr="00C075E9">
        <w:t>maintenance treatment medication, and the existence of varied guidelines by the Department of Health (D</w:t>
      </w:r>
      <w:r w:rsidR="009E09F0">
        <w:t>o</w:t>
      </w:r>
      <w:r w:rsidRPr="00C075E9">
        <w:t>H), Advisory Council on the Misuse of Drugs (ACMD) and the National Institute for Health and Clinical Excellence (NICE) in relation to the length of time for which supervised consumption should be carried out means that practice may vary markedly</w:t>
      </w:r>
      <w:r w:rsidR="009E09F0">
        <w:t xml:space="preserve"> </w:t>
      </w:r>
      <w:r w:rsidR="00400D9E">
        <w:t>(Department of Health (England) and the devolved administrations 2007, Advisory Council on the Misuse of Drugs 2000, National Institute for Health and Clinical Excellence 2007)</w:t>
      </w:r>
      <w:r w:rsidRPr="00C075E9">
        <w:t xml:space="preserve">. </w:t>
      </w:r>
      <w:r w:rsidR="00FA3018">
        <w:t xml:space="preserve">Supervised consumption reduces the risk of diversion and also protects the </w:t>
      </w:r>
      <w:r w:rsidR="000F6A5F">
        <w:t>individual</w:t>
      </w:r>
      <w:r w:rsidR="00FA3018">
        <w:t xml:space="preserve"> </w:t>
      </w:r>
      <w:r w:rsidR="000C2ED7">
        <w:t>by reducing</w:t>
      </w:r>
      <w:r w:rsidR="00FA3018">
        <w:t xml:space="preserve"> the risk of loss or theft of methadone. However, supervision policies may reduce treatment retention if perceived to be too restrictive. </w:t>
      </w:r>
      <w:r w:rsidR="000F5072">
        <w:t>A few</w:t>
      </w:r>
      <w:r w:rsidRPr="00C075E9">
        <w:t xml:space="preserve"> RCTs have been published investigating the effects of different frequencies of sup</w:t>
      </w:r>
      <w:r w:rsidR="00B57368">
        <w:t>ervision. A US factorial design</w:t>
      </w:r>
      <w:r w:rsidRPr="00C075E9">
        <w:t xml:space="preserve"> RCT comparing two days vs. five days per week and 50mg vs. 80mg of methadone found that participants who were supervised two days per week were significantly less likely to drop out </w:t>
      </w:r>
      <w:r w:rsidR="009E09F0">
        <w:t xml:space="preserve">of treatment </w:t>
      </w:r>
      <w:r w:rsidRPr="00C075E9">
        <w:t>compared to those supervised five days per week</w:t>
      </w:r>
      <w:r w:rsidR="00197544" w:rsidRPr="00C075E9">
        <w:t xml:space="preserve"> </w:t>
      </w:r>
      <w:r w:rsidR="00400D9E">
        <w:t>(Rhoades et al. 1998)</w:t>
      </w:r>
      <w:r w:rsidRPr="00C075E9">
        <w:t>. An Australian RCT comparing supervised vs. unsupervised buprenorphine-naloxone (</w:t>
      </w:r>
      <w:proofErr w:type="spellStart"/>
      <w:r w:rsidRPr="00C075E9">
        <w:t>Suboxone</w:t>
      </w:r>
      <w:proofErr w:type="spellEnd"/>
      <w:r w:rsidRPr="00C075E9">
        <w:t>) found no significant differences between the two groups for treatment retention or self-reported heroin use</w:t>
      </w:r>
      <w:r w:rsidR="00197544" w:rsidRPr="00C075E9">
        <w:t xml:space="preserve"> </w:t>
      </w:r>
      <w:r w:rsidR="00400D9E">
        <w:t>(Bell et al. 2007)</w:t>
      </w:r>
      <w:r w:rsidR="00197544" w:rsidRPr="00C075E9">
        <w:t>.</w:t>
      </w:r>
      <w:r w:rsidR="001F3D52">
        <w:t xml:space="preserve"> The most recent trial was a pilot RCT conducted in the UK. After three months of methadone maintenance, sixty participants were randomized to receive daily supervision, twice weekly supervision, or no supervision. </w:t>
      </w:r>
      <w:r w:rsidR="00DD667B">
        <w:t>There were no</w:t>
      </w:r>
      <w:r w:rsidR="001F3D52">
        <w:t xml:space="preserve"> significant differences in primary outcomes</w:t>
      </w:r>
      <w:r w:rsidR="00DD667B">
        <w:t xml:space="preserve"> at three month follow-up</w:t>
      </w:r>
      <w:r w:rsidR="001F3D52">
        <w:t xml:space="preserve">, although retention decreased with increasing supervision, while illicit heroin use was least in those most supervised (Holland </w:t>
      </w:r>
      <w:r w:rsidR="00DD667B">
        <w:t>et al. 2012</w:t>
      </w:r>
      <w:r w:rsidR="001F3D52">
        <w:t>).</w:t>
      </w:r>
    </w:p>
    <w:p w:rsidR="009575C6" w:rsidRPr="00C075E9" w:rsidRDefault="009575C6" w:rsidP="00284448"/>
    <w:p w:rsidR="00C57E7C" w:rsidRDefault="009575C6" w:rsidP="00C57E7C">
      <w:pPr>
        <w:rPr>
          <w:color w:val="000000"/>
        </w:rPr>
      </w:pPr>
      <w:r w:rsidRPr="00C075E9">
        <w:t xml:space="preserve">In addition to maintenance treatment, recent NICE guidance encourages the use of contingency management, which has a wide evidence base in the </w:t>
      </w:r>
      <w:smartTag w:uri="urn:schemas-microsoft-com:office:smarttags" w:element="country-region">
        <w:smartTag w:uri="urn:schemas-microsoft-com:office:smarttags" w:element="place">
          <w:r w:rsidRPr="00C075E9">
            <w:t>US</w:t>
          </w:r>
        </w:smartTag>
      </w:smartTag>
      <w:r w:rsidRPr="00C075E9">
        <w:t xml:space="preserve">. However the model of contingency management tested and found to improve treatment </w:t>
      </w:r>
      <w:r w:rsidRPr="00C075E9">
        <w:rPr>
          <w:color w:val="000000"/>
        </w:rPr>
        <w:t xml:space="preserve">adherence has tended to be the use of monetary rewards/vouchers for either attendance and/or negative urine </w:t>
      </w:r>
      <w:r w:rsidRPr="00C075E9">
        <w:rPr>
          <w:color w:val="000000"/>
        </w:rPr>
        <w:lastRenderedPageBreak/>
        <w:t>samples</w:t>
      </w:r>
      <w:r w:rsidR="00197544" w:rsidRPr="00C075E9">
        <w:rPr>
          <w:color w:val="000000"/>
        </w:rPr>
        <w:t xml:space="preserve"> </w:t>
      </w:r>
      <w:r w:rsidR="00400D9E">
        <w:rPr>
          <w:color w:val="000000"/>
        </w:rPr>
        <w:t>(Silverman et al. 1996)</w:t>
      </w:r>
      <w:r w:rsidR="00197544" w:rsidRPr="00C075E9">
        <w:rPr>
          <w:color w:val="000000"/>
        </w:rPr>
        <w:t>.</w:t>
      </w:r>
      <w:r w:rsidR="00C57E7C">
        <w:rPr>
          <w:color w:val="000000"/>
        </w:rPr>
        <w:t xml:space="preserve"> </w:t>
      </w:r>
      <w:proofErr w:type="spellStart"/>
      <w:r w:rsidR="00C57E7C">
        <w:rPr>
          <w:color w:val="000000"/>
        </w:rPr>
        <w:t>Gerra</w:t>
      </w:r>
      <w:proofErr w:type="spellEnd"/>
      <w:r w:rsidR="00C57E7C">
        <w:rPr>
          <w:color w:val="000000"/>
        </w:rPr>
        <w:t xml:space="preserve"> and colleagues (2011) compared daily supervision, contingent take-home methadone, and non-contingent early take-home methadone in a 12-month multicentre observational study in Italy. The contingent take-home methadone group received seven days of take-home medication if they showed clinical stabilisation and drug-free urine. The early non-contingent take-home group were required to visit once per week and given take-home methadone.  Retention was significantly higher for those in the contingent take-group. Those in the non-contingent take-home group showed the highest risk of committing a crime, testing positive for illicit drugs and diverting methadone. </w:t>
      </w:r>
    </w:p>
    <w:p w:rsidR="00C57E7C" w:rsidRDefault="00C57E7C" w:rsidP="00284448">
      <w:pPr>
        <w:rPr>
          <w:color w:val="000000"/>
        </w:rPr>
      </w:pPr>
    </w:p>
    <w:p w:rsidR="009575C6" w:rsidRPr="00C075E9" w:rsidRDefault="009575C6" w:rsidP="00284448">
      <w:r w:rsidRPr="00C075E9">
        <w:rPr>
          <w:color w:val="000000"/>
        </w:rPr>
        <w:t>Despite NICE guidance, it appears premature to suggest such methods are transferable to the UK setting. It seems likely that cultural differences will exist, particularly differences in views</w:t>
      </w:r>
      <w:r w:rsidRPr="00C075E9">
        <w:t xml:space="preserve"> of financial incentives in relation to healthcare. A survey was conducted of contingency management in relation to illicit crack/cocaine use during opiate maintenance treatment in England</w:t>
      </w:r>
      <w:r w:rsidR="00197544" w:rsidRPr="00C075E9">
        <w:t xml:space="preserve"> </w:t>
      </w:r>
      <w:r w:rsidR="00400D9E">
        <w:t>(Weaver et al. 2007)</w:t>
      </w:r>
      <w:r w:rsidR="00197544" w:rsidRPr="00C075E9">
        <w:t xml:space="preserve">. </w:t>
      </w:r>
      <w:r w:rsidRPr="00C075E9">
        <w:t>This found that no services offered monetary payments or vouchers as a form of contingency management in return for abstinence from illicit crack/cocaine in patients un</w:t>
      </w:r>
      <w:r w:rsidR="00197544" w:rsidRPr="00C075E9">
        <w:t xml:space="preserve">dergoing maintenance treatment </w:t>
      </w:r>
      <w:r w:rsidR="00400D9E">
        <w:t>(Weaver et al. 2007)</w:t>
      </w:r>
      <w:r w:rsidR="00197544" w:rsidRPr="00C075E9">
        <w:t>.</w:t>
      </w:r>
    </w:p>
    <w:p w:rsidR="009575C6" w:rsidRPr="00C075E9" w:rsidRDefault="009575C6" w:rsidP="00284448"/>
    <w:p w:rsidR="009575C6" w:rsidRPr="00C075E9" w:rsidRDefault="009575C6" w:rsidP="00284448">
      <w:r w:rsidRPr="00C075E9">
        <w:t>In 2009, a similar survey was conducted of all Scottish specialist clinicians working</w:t>
      </w:r>
      <w:r w:rsidR="00197544" w:rsidRPr="00C075E9">
        <w:t xml:space="preserve"> in substance misuse treatment </w:t>
      </w:r>
      <w:r w:rsidR="00400D9E">
        <w:t>(Anthony et al. 2011)</w:t>
      </w:r>
      <w:r w:rsidR="00CA1250">
        <w:t>.</w:t>
      </w:r>
      <w:r w:rsidRPr="00C075E9">
        <w:t xml:space="preserve"> It found there was a relatively cautious approach to relaxing supervision arrangements. The Scottish survey did not cover contingency management in detail. Given the relatively small number of Scottish clinicians it was felt it would be useful to expand this survey into England. It is this English survey that is reported here.</w:t>
      </w:r>
    </w:p>
    <w:p w:rsidR="009575C6" w:rsidRPr="00C075E9" w:rsidRDefault="009575C6" w:rsidP="00284448"/>
    <w:p w:rsidR="009575C6" w:rsidRPr="00284448" w:rsidRDefault="009575C6" w:rsidP="00284448">
      <w:pPr>
        <w:pStyle w:val="Heading2"/>
      </w:pPr>
      <w:r w:rsidRPr="00284448">
        <w:t>Method</w:t>
      </w:r>
    </w:p>
    <w:p w:rsidR="009575C6" w:rsidRPr="00C075E9" w:rsidRDefault="009575C6" w:rsidP="00284448">
      <w:r w:rsidRPr="00C075E9">
        <w:t>A cross-sectional survey in the form of a short postal questionnaire was used. Lead specialist clinicians in the field of substance misuse</w:t>
      </w:r>
      <w:r w:rsidR="000C206B">
        <w:t xml:space="preserve"> (i.e. consultant psychiatrists and specialist general practitioners)</w:t>
      </w:r>
      <w:r w:rsidRPr="00C075E9">
        <w:t xml:space="preserve"> in England were identified through e-mail contact with Drug Action Team coordinators, whose details were available through the </w:t>
      </w:r>
      <w:r w:rsidR="00CA1250">
        <w:t>H</w:t>
      </w:r>
      <w:r w:rsidRPr="00C075E9">
        <w:t xml:space="preserve">ome </w:t>
      </w:r>
      <w:r w:rsidR="00CA1250">
        <w:t>O</w:t>
      </w:r>
      <w:r w:rsidRPr="00C075E9">
        <w:t xml:space="preserve">ffice website, and through primary care and mental health trusts. Statutory treatment centres listed as providing prescribing treatment for opiate dependent patients in the </w:t>
      </w:r>
      <w:proofErr w:type="spellStart"/>
      <w:r w:rsidRPr="00C075E9">
        <w:t>DrugScope</w:t>
      </w:r>
      <w:proofErr w:type="spellEnd"/>
      <w:r w:rsidRPr="00C075E9">
        <w:t xml:space="preserve"> database (</w:t>
      </w:r>
      <w:hyperlink w:history="1"/>
      <w:r w:rsidR="00400D9E" w:rsidRPr="00400D9E">
        <w:t>www.drugscope.org.uk</w:t>
      </w:r>
      <w:r w:rsidRPr="00C075E9">
        <w:t>) were contacted, with the questionnaire addressed to the specialist lead clinician in substance misuse.</w:t>
      </w:r>
      <w:r w:rsidR="00146A8E">
        <w:t xml:space="preserve"> Statutory treatment centres are those provided by the National Health Service (NHS) and excludes charity-based organisations and those in the private sector.</w:t>
      </w:r>
    </w:p>
    <w:p w:rsidR="009575C6" w:rsidRPr="00C075E9" w:rsidRDefault="009575C6" w:rsidP="00284448"/>
    <w:p w:rsidR="009575C6" w:rsidRPr="00C075E9" w:rsidRDefault="009575C6" w:rsidP="00284448">
      <w:pPr>
        <w:rPr>
          <w:lang w:eastAsia="zh-CN"/>
        </w:rPr>
      </w:pPr>
      <w:r w:rsidRPr="00C075E9">
        <w:lastRenderedPageBreak/>
        <w:t xml:space="preserve">The questionnaire was designed by the researchers and piloted in </w:t>
      </w:r>
      <w:smartTag w:uri="urn:schemas-microsoft-com:office:smarttags" w:element="country-region">
        <w:smartTag w:uri="urn:schemas-microsoft-com:office:smarttags" w:element="place">
          <w:r w:rsidRPr="00C075E9">
            <w:t>Scotland</w:t>
          </w:r>
        </w:smartTag>
      </w:smartTag>
      <w:r w:rsidRPr="00C075E9">
        <w:t xml:space="preserve">. It was then modified and re-tested on four clinicians based in </w:t>
      </w:r>
      <w:smartTag w:uri="urn:schemas-microsoft-com:office:smarttags" w:element="country-region">
        <w:smartTag w:uri="urn:schemas-microsoft-com:office:smarttags" w:element="place">
          <w:r w:rsidRPr="00C075E9">
            <w:t>England</w:t>
          </w:r>
        </w:smartTag>
      </w:smartTag>
      <w:r w:rsidRPr="00C075E9">
        <w:t xml:space="preserve">. The final questionnaire was sent to the 194 identified clinicians, along with an explanatory covering letter, in 2010. Two reminders were sent at </w:t>
      </w:r>
      <w:r w:rsidR="00CA1250">
        <w:t>fortnightly</w:t>
      </w:r>
      <w:r w:rsidRPr="00C075E9">
        <w:t xml:space="preserve"> intervals to non-responders. The questionnaire </w:t>
      </w:r>
      <w:r w:rsidR="00CA1250">
        <w:t>comprised</w:t>
      </w:r>
      <w:r w:rsidRPr="00C075E9">
        <w:t xml:space="preserve"> a mixture of closed and open-ended questions</w:t>
      </w:r>
      <w:r w:rsidR="00CA1250">
        <w:t xml:space="preserve"> and covered </w:t>
      </w:r>
      <w:r w:rsidRPr="00C075E9">
        <w:t xml:space="preserve">aspects </w:t>
      </w:r>
      <w:r w:rsidR="00CA1250">
        <w:t>of</w:t>
      </w:r>
      <w:r w:rsidR="00CA1250" w:rsidRPr="00C075E9">
        <w:t xml:space="preserve"> </w:t>
      </w:r>
      <w:r w:rsidRPr="00C075E9">
        <w:t xml:space="preserve">supervised </w:t>
      </w:r>
      <w:r w:rsidR="00CA1250">
        <w:t xml:space="preserve">methadone and buprenorphine </w:t>
      </w:r>
      <w:r w:rsidRPr="00C075E9">
        <w:t xml:space="preserve">consumption, and the use of contingency management. Simple descriptive analysis (frequencies expressed as counts and percentages) and a </w:t>
      </w:r>
      <w:proofErr w:type="spellStart"/>
      <w:r w:rsidRPr="00C075E9">
        <w:t>McNemar</w:t>
      </w:r>
      <w:proofErr w:type="spellEnd"/>
      <w:r w:rsidRPr="00C075E9">
        <w:t xml:space="preserve"> test were performed using </w:t>
      </w:r>
      <w:r w:rsidRPr="00C075E9">
        <w:rPr>
          <w:lang w:eastAsia="zh-CN"/>
        </w:rPr>
        <w:t>Statistical Package for Social Science version 17.0 for Windows.</w:t>
      </w:r>
    </w:p>
    <w:p w:rsidR="009575C6" w:rsidRPr="00C075E9" w:rsidRDefault="009575C6" w:rsidP="00284448"/>
    <w:p w:rsidR="009575C6" w:rsidRPr="00C075E9" w:rsidRDefault="009575C6" w:rsidP="00284448">
      <w:r w:rsidRPr="00C075E9">
        <w:t>Ethical approval was granted from the North of Scotland Research Ethics Committee as part of a wider application including the Scottish survey.</w:t>
      </w:r>
    </w:p>
    <w:p w:rsidR="009575C6" w:rsidRPr="00C075E9" w:rsidRDefault="009575C6" w:rsidP="00284448"/>
    <w:p w:rsidR="009575C6" w:rsidRPr="00284448" w:rsidRDefault="009575C6" w:rsidP="00284448">
      <w:pPr>
        <w:pStyle w:val="Heading2"/>
      </w:pPr>
      <w:r w:rsidRPr="00284448">
        <w:t>Results</w:t>
      </w:r>
    </w:p>
    <w:p w:rsidR="009575C6" w:rsidRPr="00C075E9" w:rsidRDefault="009575C6" w:rsidP="00284448">
      <w:r w:rsidRPr="00C075E9">
        <w:t>A response rate of 66% was achieved (n=129/194). Seventy-five respondents were male (58%), with females making up 36% (47/129) (remainder did not specify). Eighty-one (63%) had spent over ten years working in the substance misuse field.</w:t>
      </w:r>
    </w:p>
    <w:p w:rsidR="009575C6" w:rsidRPr="00C075E9" w:rsidRDefault="009575C6" w:rsidP="00284448"/>
    <w:p w:rsidR="009575C6" w:rsidRPr="00C075E9" w:rsidRDefault="009575C6" w:rsidP="00207483">
      <w:pPr>
        <w:pStyle w:val="Heading3"/>
      </w:pPr>
      <w:r w:rsidRPr="00C075E9">
        <w:t>Current supervised consumption practice</w:t>
      </w:r>
    </w:p>
    <w:p w:rsidR="009575C6" w:rsidRPr="00C075E9" w:rsidRDefault="009575C6" w:rsidP="00284448">
      <w:r w:rsidRPr="00C075E9">
        <w:t>Seventy-four (57%) clinicians had a standard period for which new clients were supervised. This standard period ranged from one month to six months, with three months being most common (86%, n=64). Ninety-nine (77%) clinicians said that the majority of their patients who received supervision were supervised six days per week. The second most frequent answer was five days per week, given by 23 (18%).</w:t>
      </w:r>
    </w:p>
    <w:p w:rsidR="009575C6" w:rsidRPr="00C075E9" w:rsidRDefault="009575C6" w:rsidP="00284448"/>
    <w:p w:rsidR="009575C6" w:rsidRPr="00C075E9" w:rsidRDefault="009575C6" w:rsidP="00284448">
      <w:r w:rsidRPr="00C075E9">
        <w:t>Eighty-six clinicians (67%) had a minimum period of time for supervising opiate consumption in new patients and 54 (42%) had a minimum period for patients restarting treatment. The minimum periods of time for both new patients and patients restarting treatment ranged from two weeks to three months. A period of three months was the most common, stated by 64 (74%) clinicians with a minimum time pe</w:t>
      </w:r>
      <w:r w:rsidR="002F37F9">
        <w:t>riod for new patients, and by 32</w:t>
      </w:r>
      <w:r w:rsidRPr="00C075E9">
        <w:t xml:space="preserve"> (59%) with a minimum period for returning clients. The number of clinicians with a minimum period for which they supervised new patients entering treatment was significantly greater than those with a minimum period for patients re-starting treatment (</w:t>
      </w:r>
      <w:proofErr w:type="spellStart"/>
      <w:r w:rsidRPr="00C075E9">
        <w:t>McNemar</w:t>
      </w:r>
      <w:proofErr w:type="spellEnd"/>
      <w:r w:rsidRPr="00C075E9">
        <w:t xml:space="preserve"> test p&lt;0.001).</w:t>
      </w:r>
    </w:p>
    <w:p w:rsidR="009575C6" w:rsidRPr="00C075E9" w:rsidRDefault="009575C6" w:rsidP="00284448"/>
    <w:p w:rsidR="009575C6" w:rsidRPr="00C075E9" w:rsidRDefault="009575C6" w:rsidP="00284448">
      <w:r w:rsidRPr="00C075E9">
        <w:t>Half of clinicians (50%, n=64) stated they discontinued supervision by gradually reducing the frequency of supervision, compared with 57 (44%) who would stop supervision immediately</w:t>
      </w:r>
      <w:r w:rsidR="008822F5">
        <w:t xml:space="preserve"> </w:t>
      </w:r>
      <w:r w:rsidR="008822F5">
        <w:lastRenderedPageBreak/>
        <w:t xml:space="preserve">i.e. no requirement for supervision </w:t>
      </w:r>
      <w:r w:rsidR="00F60F90">
        <w:t>from</w:t>
      </w:r>
      <w:r w:rsidR="008822F5">
        <w:t xml:space="preserve"> a particular point in time</w:t>
      </w:r>
      <w:r w:rsidRPr="00C075E9">
        <w:t>. Eight (6%) indicated that they used both methods.</w:t>
      </w:r>
    </w:p>
    <w:p w:rsidR="009575C6" w:rsidRPr="00C075E9" w:rsidRDefault="009575C6" w:rsidP="00284448"/>
    <w:p w:rsidR="009575C6" w:rsidRPr="00C075E9" w:rsidRDefault="009575C6" w:rsidP="00284448">
      <w:r w:rsidRPr="00C075E9">
        <w:t>Eighty-three (64%) respondents indicated that they did not use a different approach for supervised consumption in patients undergoing buprenorphine maintenance treatment (BMT) compared to methadone maintenance treatment (MMT). A third (31%) reported using a different approach to supervised consumption. These different approaches included less frequent supervision for those receiving buprenorphine compared to methadone, and discontinuing supervised consumption sooner for patients receiving BMT compared to MMT.</w:t>
      </w:r>
    </w:p>
    <w:p w:rsidR="009575C6" w:rsidRPr="00C075E9" w:rsidRDefault="009575C6" w:rsidP="00284448"/>
    <w:p w:rsidR="009575C6" w:rsidRPr="00C075E9" w:rsidRDefault="009575C6" w:rsidP="00284448">
      <w:pPr>
        <w:pStyle w:val="Heading3"/>
      </w:pPr>
      <w:r w:rsidRPr="00C075E9">
        <w:t>Management of a positive urinalysi</w:t>
      </w:r>
      <w:r w:rsidR="00DC4E87" w:rsidRPr="00C075E9">
        <w:t>s in an unsupervised patient</w:t>
      </w:r>
    </w:p>
    <w:p w:rsidR="009575C6" w:rsidRPr="00C075E9" w:rsidRDefault="009575C6" w:rsidP="00284448">
      <w:r w:rsidRPr="00C075E9">
        <w:t xml:space="preserve">Participants were asked in an open question how they manage a patient whose consumption is unsupervised upon the production of a </w:t>
      </w:r>
      <w:r w:rsidR="00CA1250">
        <w:t xml:space="preserve">positive </w:t>
      </w:r>
      <w:r w:rsidRPr="00C075E9">
        <w:t>urinalysis for illicit opiates. Responses were categorised and eight categories emerged. The three m</w:t>
      </w:r>
      <w:r w:rsidR="00C075E9">
        <w:t xml:space="preserve">ost frequent responses were: </w:t>
      </w:r>
      <w:r w:rsidRPr="00C075E9">
        <w:t>‘thro</w:t>
      </w:r>
      <w:r w:rsidR="00C075E9">
        <w:t xml:space="preserve">ugh discussion with patient’, </w:t>
      </w:r>
      <w:r w:rsidRPr="00C075E9">
        <w:t xml:space="preserve">‘review </w:t>
      </w:r>
      <w:r w:rsidR="009E09F0">
        <w:t>of</w:t>
      </w:r>
      <w:r w:rsidRPr="00C075E9">
        <w:t xml:space="preserve"> care plan</w:t>
      </w:r>
      <w:r w:rsidR="009E09F0">
        <w:t xml:space="preserve">, </w:t>
      </w:r>
      <w:r w:rsidR="00C075E9">
        <w:t>medical review</w:t>
      </w:r>
      <w:r w:rsidR="009E09F0">
        <w:t>, or a change in care</w:t>
      </w:r>
      <w:r w:rsidR="00C075E9">
        <w:t xml:space="preserve">’ and </w:t>
      </w:r>
      <w:r w:rsidRPr="00C075E9">
        <w:t>‘possibility of returning to supervised consumption with con</w:t>
      </w:r>
      <w:r w:rsidR="00C075E9">
        <w:t>sideration of other factors’</w:t>
      </w:r>
      <w:r w:rsidR="00CA1250">
        <w:t xml:space="preserve"> (Table 1)</w:t>
      </w:r>
      <w:r w:rsidRPr="00C075E9">
        <w:t>.</w:t>
      </w:r>
    </w:p>
    <w:p w:rsidR="006C721E" w:rsidRDefault="006C721E" w:rsidP="00284448"/>
    <w:p w:rsidR="009575C6" w:rsidRDefault="006C721E" w:rsidP="00284448">
      <w:r>
        <w:t>(Tab</w:t>
      </w:r>
      <w:r w:rsidR="000664E1">
        <w:t>l</w:t>
      </w:r>
      <w:r>
        <w:t>e 1)</w:t>
      </w:r>
    </w:p>
    <w:p w:rsidR="006C721E" w:rsidRPr="00C075E9" w:rsidRDefault="006C721E" w:rsidP="00284448"/>
    <w:p w:rsidR="009575C6" w:rsidRPr="00C075E9" w:rsidRDefault="00DC4E87" w:rsidP="00207483">
      <w:pPr>
        <w:pStyle w:val="Heading3"/>
      </w:pPr>
      <w:r w:rsidRPr="00C075E9">
        <w:t>Perceived i</w:t>
      </w:r>
      <w:r w:rsidR="009575C6" w:rsidRPr="00C075E9">
        <w:t>nfluence of supervision</w:t>
      </w:r>
    </w:p>
    <w:p w:rsidR="009575C6" w:rsidRPr="00C075E9" w:rsidRDefault="009575C6" w:rsidP="00284448">
      <w:r w:rsidRPr="00C075E9">
        <w:t>Fifty clinicians (39%) reported that, in their experience, supervision arrangements had prevented patients from starting treatment. This only happened in a very small number of cases. The main reasons provided were: work commitments, mobility issues and childcare.</w:t>
      </w:r>
    </w:p>
    <w:p w:rsidR="009575C6" w:rsidRPr="00C075E9" w:rsidRDefault="009575C6" w:rsidP="00284448"/>
    <w:p w:rsidR="009575C6" w:rsidRPr="00C075E9" w:rsidRDefault="009575C6" w:rsidP="00284448">
      <w:r w:rsidRPr="00C075E9">
        <w:t xml:space="preserve">Clinicians’ </w:t>
      </w:r>
      <w:r w:rsidR="00C01CF2">
        <w:t>perceptions</w:t>
      </w:r>
      <w:r w:rsidRPr="00C075E9">
        <w:t xml:space="preserve"> of whether supervision arrangements </w:t>
      </w:r>
      <w:r w:rsidR="00C01CF2">
        <w:t xml:space="preserve">had </w:t>
      </w:r>
      <w:r w:rsidRPr="00C075E9">
        <w:t xml:space="preserve">caused patients to drop out of treatment were </w:t>
      </w:r>
      <w:r w:rsidR="00C01CF2">
        <w:t xml:space="preserve">almost </w:t>
      </w:r>
      <w:r w:rsidRPr="00C075E9">
        <w:t xml:space="preserve">evenly split. Just under half (62) </w:t>
      </w:r>
      <w:r w:rsidR="00C01CF2">
        <w:t xml:space="preserve">perceived </w:t>
      </w:r>
      <w:r w:rsidRPr="00C075E9">
        <w:t xml:space="preserve">supervision arrangements </w:t>
      </w:r>
      <w:r w:rsidR="00C01CF2">
        <w:t>to be a cause of</w:t>
      </w:r>
      <w:r w:rsidRPr="00C075E9">
        <w:t xml:space="preserve"> drop</w:t>
      </w:r>
      <w:r w:rsidR="00C01CF2">
        <w:t>-</w:t>
      </w:r>
      <w:r w:rsidRPr="00C075E9">
        <w:t xml:space="preserve">out, and 67 (52%) </w:t>
      </w:r>
      <w:r w:rsidR="00C01CF2">
        <w:t>did not</w:t>
      </w:r>
      <w:r w:rsidR="00857BB4">
        <w:t xml:space="preserve">. </w:t>
      </w:r>
      <w:r w:rsidRPr="00C075E9">
        <w:t>Those who believed arrangements had caused patients to drop out were asked to estimate the proportion affected, and the reasons for this</w:t>
      </w:r>
      <w:r w:rsidR="00857BB4">
        <w:t xml:space="preserve"> (</w:t>
      </w:r>
      <w:r w:rsidRPr="00C075E9">
        <w:t>Table 2</w:t>
      </w:r>
      <w:r w:rsidR="00857BB4">
        <w:t>).</w:t>
      </w:r>
    </w:p>
    <w:p w:rsidR="009575C6" w:rsidRDefault="009575C6" w:rsidP="00284448"/>
    <w:p w:rsidR="006C721E" w:rsidRPr="00C075E9" w:rsidRDefault="006C721E" w:rsidP="00284448">
      <w:r>
        <w:t>(Table 2)</w:t>
      </w:r>
    </w:p>
    <w:p w:rsidR="009575C6" w:rsidRPr="00C075E9" w:rsidRDefault="009575C6" w:rsidP="00284448"/>
    <w:p w:rsidR="009575C6" w:rsidRPr="00C075E9" w:rsidRDefault="009575C6" w:rsidP="00207483">
      <w:pPr>
        <w:pStyle w:val="Heading3"/>
      </w:pPr>
      <w:r w:rsidRPr="00C075E9">
        <w:t>Contingency management</w:t>
      </w:r>
    </w:p>
    <w:p w:rsidR="009575C6" w:rsidRPr="00C075E9" w:rsidRDefault="009575C6" w:rsidP="00284448">
      <w:r w:rsidRPr="00C075E9">
        <w:t>Overall, 107 (83%) clinicians indicated that they used at least one f</w:t>
      </w:r>
      <w:r w:rsidR="00507A06">
        <w:t xml:space="preserve">orm of contingency management. </w:t>
      </w:r>
      <w:r w:rsidRPr="00C075E9">
        <w:t>Participants were asked to select all forms used. The mo</w:t>
      </w:r>
      <w:r w:rsidR="00C075E9">
        <w:t xml:space="preserve">st frequent option noted was </w:t>
      </w:r>
      <w:r w:rsidRPr="00C075E9">
        <w:t>‘a reduction in frequency of dispensing</w:t>
      </w:r>
      <w:r w:rsidR="00C075E9">
        <w:t>’</w:t>
      </w:r>
      <w:r w:rsidR="00BD6BFC">
        <w:t xml:space="preserve"> (i.e. </w:t>
      </w:r>
      <w:r w:rsidR="00E232F6">
        <w:t xml:space="preserve">a reduction is the frequency of visits </w:t>
      </w:r>
      <w:r w:rsidR="00E232F6">
        <w:lastRenderedPageBreak/>
        <w:t>required to collect medication)</w:t>
      </w:r>
      <w:r w:rsidRPr="00C075E9">
        <w:t>, with 103 (96%) of those using contingency management using this. This was closely followed by ‘a reduction in frequency of supervision’</w:t>
      </w:r>
      <w:r w:rsidR="00E232F6">
        <w:t xml:space="preserve"> (i.e. a reduction in the frequency in which the maintenance medication is consumed under supervision)</w:t>
      </w:r>
      <w:r w:rsidRPr="00C075E9">
        <w:t>, which was utilised by 85 (79%). Ten (9%) indicate</w:t>
      </w:r>
      <w:r w:rsidR="00C075E9">
        <w:t>d ‘using free travel passes, seven (7%) reported using ‘vouchers’, and 11 (10%) selected the ‘other’ option. Of those choosing ‘other’</w:t>
      </w:r>
      <w:r w:rsidRPr="00C075E9">
        <w:t>, several stated that they had previously used vouchers for one-off interventions e.g. in return for receiving a Hepatitis B vaccine or attending overdose training. Some respondents added that although they used contingency management, it was not part of a formalised plan. In ad</w:t>
      </w:r>
      <w:r w:rsidR="00C075E9">
        <w:t>dition to the above options, ‘money’</w:t>
      </w:r>
      <w:r w:rsidRPr="00C075E9">
        <w:t xml:space="preserve"> was also listed as an option but was not used by any respondents. Nineteen clinicians (15%) did not use any form of contingency management.</w:t>
      </w:r>
    </w:p>
    <w:p w:rsidR="009575C6" w:rsidRPr="00C075E9" w:rsidRDefault="009575C6" w:rsidP="00284448"/>
    <w:p w:rsidR="009575C6" w:rsidRPr="00C075E9" w:rsidRDefault="009575C6" w:rsidP="00284448">
      <w:r w:rsidRPr="00C075E9">
        <w:t xml:space="preserve">Of the 107 </w:t>
      </w:r>
      <w:r w:rsidR="008D2E99">
        <w:t xml:space="preserve">clinicians </w:t>
      </w:r>
      <w:r w:rsidRPr="00C075E9">
        <w:t>who reported using contingency management, 71 (66%) indicated that they started this approach after a flexible period of time depending on clinical progress; a fifth (21) started immediately; 14 (13%) started it after a fixed period of time;</w:t>
      </w:r>
      <w:r w:rsidR="00C075E9">
        <w:t xml:space="preserve"> and 2 (2%) chose ‘other’</w:t>
      </w:r>
      <w:r w:rsidRPr="00C075E9">
        <w:t xml:space="preserve">. </w:t>
      </w:r>
      <w:proofErr w:type="gramStart"/>
      <w:r w:rsidRPr="00C075E9">
        <w:t>Eleven (79%) of those respon</w:t>
      </w:r>
      <w:r w:rsidR="00C075E9">
        <w:t xml:space="preserve">dents selecting the response </w:t>
      </w:r>
      <w:r w:rsidRPr="00C075E9">
        <w:t>‘a</w:t>
      </w:r>
      <w:r w:rsidR="00C075E9">
        <w:t>fter a fixed period of time’</w:t>
      </w:r>
      <w:r w:rsidRPr="00C075E9">
        <w:t>, specified a time period of three months.</w:t>
      </w:r>
      <w:proofErr w:type="gramEnd"/>
      <w:r w:rsidRPr="00C075E9">
        <w:t xml:space="preserve"> One clinician gave a time period of a month and another said two weeks after titration. The remaining respondent did not provide a time period.</w:t>
      </w:r>
    </w:p>
    <w:p w:rsidR="009575C6" w:rsidRPr="00C075E9" w:rsidRDefault="009575C6" w:rsidP="00284448"/>
    <w:p w:rsidR="009575C6" w:rsidRPr="00C075E9" w:rsidRDefault="009575C6" w:rsidP="00284448">
      <w:r w:rsidRPr="00C075E9">
        <w:t xml:space="preserve">Participants were asked to indicate the criteria which influenced their decision to </w:t>
      </w:r>
      <w:r w:rsidR="00667C92">
        <w:t xml:space="preserve"> initiate clear rewards as part of overall contingency management</w:t>
      </w:r>
      <w:r w:rsidRPr="00C075E9">
        <w:t>. The most common criterio</w:t>
      </w:r>
      <w:r w:rsidR="00C075E9">
        <w:t xml:space="preserve">n selected was </w:t>
      </w:r>
      <w:r w:rsidRPr="00C075E9">
        <w:t>‘good treatment engagement and progre</w:t>
      </w:r>
      <w:r w:rsidR="00C075E9">
        <w:t xml:space="preserve">ss’, closely followed by ‘no use of illicit opiates’ and </w:t>
      </w:r>
      <w:r w:rsidRPr="00C075E9">
        <w:t>‘</w:t>
      </w:r>
      <w:r w:rsidR="00C075E9">
        <w:t>no use of any illicit drugs’</w:t>
      </w:r>
      <w:r w:rsidR="008D2E99">
        <w:t xml:space="preserve"> (</w:t>
      </w:r>
      <w:r w:rsidRPr="00C075E9">
        <w:t>Table 3</w:t>
      </w:r>
      <w:r w:rsidR="008D2E99">
        <w:t>)</w:t>
      </w:r>
      <w:r w:rsidRPr="00C075E9">
        <w:t>.</w:t>
      </w:r>
    </w:p>
    <w:p w:rsidR="009575C6" w:rsidRPr="00C075E9" w:rsidRDefault="009575C6" w:rsidP="00284448"/>
    <w:p w:rsidR="009575C6" w:rsidRPr="00C075E9" w:rsidRDefault="006C721E" w:rsidP="00284448">
      <w:r>
        <w:t>(Table 3)</w:t>
      </w:r>
    </w:p>
    <w:p w:rsidR="009575C6" w:rsidRPr="00C075E9" w:rsidRDefault="009575C6" w:rsidP="00284448"/>
    <w:p w:rsidR="009575C6" w:rsidRPr="00C075E9" w:rsidRDefault="009575C6" w:rsidP="00284448">
      <w:r w:rsidRPr="00C075E9">
        <w:t>Clinicians were asked to rank the two criteria which most strongly influenced their decision to begin contingency management, with ‘1’ being the most influent</w:t>
      </w:r>
      <w:r w:rsidR="00197544" w:rsidRPr="00C075E9">
        <w:t xml:space="preserve">ial. The results showed that </w:t>
      </w:r>
      <w:r w:rsidRPr="00C075E9">
        <w:t>‘good treatm</w:t>
      </w:r>
      <w:r w:rsidR="00197544" w:rsidRPr="00C075E9">
        <w:t>ent engagement and progress’</w:t>
      </w:r>
      <w:r w:rsidRPr="00C075E9">
        <w:t xml:space="preserve"> was the most influential factor for clinicians deciding to implement contingency management, with 33 (35%) of those answering this question ranking it as the most important factor, and 20 (21%) ranking it second. The second</w:t>
      </w:r>
      <w:r w:rsidR="00197544" w:rsidRPr="00C075E9">
        <w:t xml:space="preserve"> most influential factor was ‘no use of illicit opiates’, closely followed by ‘no use of any illicit drugs</w:t>
      </w:r>
      <w:r w:rsidRPr="00C075E9">
        <w:t>.</w:t>
      </w:r>
    </w:p>
    <w:p w:rsidR="009575C6" w:rsidRPr="00284448" w:rsidRDefault="009575C6" w:rsidP="00284448">
      <w:pPr>
        <w:pStyle w:val="Heading2"/>
      </w:pPr>
      <w:r w:rsidRPr="00284448">
        <w:t>Discussion</w:t>
      </w:r>
    </w:p>
    <w:p w:rsidR="009575C6" w:rsidRPr="00C075E9" w:rsidRDefault="009575C6" w:rsidP="00284448">
      <w:r w:rsidRPr="00C075E9">
        <w:t xml:space="preserve">The majority of substance misuse clinicians in England supervised patients for a minimum of three months, though a great deal of flexibility was evident depending on individual </w:t>
      </w:r>
      <w:r w:rsidRPr="00C075E9">
        <w:lastRenderedPageBreak/>
        <w:t>circumstances. Fewer patients were supervised for longer periods of time. Supervised consumption on premises took place six days per week</w:t>
      </w:r>
      <w:r w:rsidR="009E09F0">
        <w:t xml:space="preserve"> </w:t>
      </w:r>
      <w:r w:rsidR="009E09F0" w:rsidRPr="00C075E9">
        <w:t>for the majority of patients</w:t>
      </w:r>
      <w:r w:rsidRPr="00C075E9">
        <w:t>. Similar proportions of respondents discontinued treatment by gradually reducing it, and by stopping it immediately. Unsupervised patients who subsequently test positive for illicit opiates are generally managed with a medical review or increased support, with very few clinicians indicating an immediate return to supervision. Importantly, arrangements for supervised consumption were believed by clinicians to have dissuaded a minority from commencing treatment and to have caused a minority of patients to drop out of treatment. Contingency management in some form was widely employed throughout England, with the most common forms relating to changes in supervision or dispensing arrangements rather than monetary based forms.</w:t>
      </w:r>
    </w:p>
    <w:p w:rsidR="009575C6" w:rsidRPr="00C075E9" w:rsidRDefault="009575C6" w:rsidP="00284448">
      <w:pPr>
        <w:rPr>
          <w:lang w:eastAsia="zh-CN"/>
        </w:rPr>
      </w:pPr>
    </w:p>
    <w:p w:rsidR="009575C6" w:rsidRPr="00C075E9" w:rsidRDefault="009575C6" w:rsidP="00284448">
      <w:r w:rsidRPr="00C075E9">
        <w:t>The responses indicated that more clinicians in England had minimum and standard periods of supervision for new patients compared to clinicians in Scotland (minimum period used by 67% and 56% respectively; standard use</w:t>
      </w:r>
      <w:r w:rsidR="00197544" w:rsidRPr="00C075E9">
        <w:t xml:space="preserve">d by 57% and 28% respectively) </w:t>
      </w:r>
      <w:r w:rsidR="00400D9E">
        <w:t>(Anthony et al. 2011)</w:t>
      </w:r>
      <w:r w:rsidR="00197544" w:rsidRPr="00C075E9">
        <w:t>.</w:t>
      </w:r>
      <w:r w:rsidRPr="00C075E9">
        <w:t xml:space="preserve"> For clinicians indicating that they had a minimum or standard period of time for supervising consumption in new or returning patients, three months was the most frequently stated time period. This finding is similar to that of the Scottish survey</w:t>
      </w:r>
      <w:r w:rsidR="00197544" w:rsidRPr="00C075E9">
        <w:t xml:space="preserve"> </w:t>
      </w:r>
      <w:r w:rsidR="00400D9E">
        <w:t>(Anthony et al. 2011)</w:t>
      </w:r>
      <w:r w:rsidR="00197544" w:rsidRPr="00C075E9">
        <w:t xml:space="preserve">, </w:t>
      </w:r>
      <w:r w:rsidRPr="00C075E9">
        <w:t>and</w:t>
      </w:r>
      <w:r w:rsidR="00197544" w:rsidRPr="00C075E9">
        <w:t xml:space="preserve"> is in line with </w:t>
      </w:r>
      <w:proofErr w:type="spellStart"/>
      <w:r w:rsidR="00197544" w:rsidRPr="00C075E9">
        <w:t>D</w:t>
      </w:r>
      <w:r w:rsidR="00851699">
        <w:t>o</w:t>
      </w:r>
      <w:r w:rsidR="00197544" w:rsidRPr="00C075E9">
        <w:t>H</w:t>
      </w:r>
      <w:proofErr w:type="spellEnd"/>
      <w:r w:rsidR="00197544" w:rsidRPr="00C075E9">
        <w:t xml:space="preserve"> guidelines </w:t>
      </w:r>
      <w:r w:rsidR="00400D9E">
        <w:t>(Department of Health (England) and the devolved administrations 2007)</w:t>
      </w:r>
      <w:r w:rsidR="00197544" w:rsidRPr="00C075E9">
        <w:t>.</w:t>
      </w:r>
      <w:r w:rsidRPr="00C075E9">
        <w:t xml:space="preserve"> Significantly fewer respondents had a minimum period for which patients returning to treatment were supervised compared to new patients entering treatment (42% and 67% respectively). A likely explanation for this may be due to the fact that D</w:t>
      </w:r>
      <w:r w:rsidR="00851699">
        <w:t>o</w:t>
      </w:r>
      <w:r w:rsidRPr="00C075E9">
        <w:t>H guidelines state that the duration for which returning patients are supervised is to</w:t>
      </w:r>
      <w:r w:rsidR="00197544" w:rsidRPr="00C075E9">
        <w:t xml:space="preserve"> be decided by local protocols </w:t>
      </w:r>
      <w:r w:rsidR="00400D9E">
        <w:t>(Department of Health (England) and the devolved administrations 2007)</w:t>
      </w:r>
      <w:r w:rsidR="00197544" w:rsidRPr="00C075E9">
        <w:t>.</w:t>
      </w:r>
    </w:p>
    <w:p w:rsidR="009575C6" w:rsidRPr="00C075E9" w:rsidRDefault="009575C6" w:rsidP="00284448"/>
    <w:p w:rsidR="009575C6" w:rsidRPr="00C075E9" w:rsidRDefault="009575C6" w:rsidP="00284448">
      <w:r w:rsidRPr="00C075E9">
        <w:t>The most frequent response given for the number of days the majority of patients were supervised was six days per week, which was also found by the Scottish survey</w:t>
      </w:r>
      <w:r w:rsidR="00197544" w:rsidRPr="00C075E9">
        <w:t xml:space="preserve"> </w:t>
      </w:r>
      <w:r w:rsidR="00400D9E">
        <w:t>(Anthony et al. 2011)</w:t>
      </w:r>
      <w:r w:rsidR="003D270B">
        <w:t xml:space="preserve">. </w:t>
      </w:r>
      <w:r w:rsidRPr="00C075E9">
        <w:t>This is most likely due to the opening hours of pharmacies, with many o</w:t>
      </w:r>
      <w:r w:rsidR="00197544" w:rsidRPr="00C075E9">
        <w:t xml:space="preserve">pening only six days per week </w:t>
      </w:r>
      <w:r w:rsidR="00400D9E">
        <w:t>(Neale 1999)</w:t>
      </w:r>
      <w:r w:rsidR="00197544" w:rsidRPr="00C075E9">
        <w:t>.</w:t>
      </w:r>
      <w:r w:rsidRPr="00C075E9">
        <w:t xml:space="preserve"> In addition, clinics with on-site supervision facilities may only be open five days per week</w:t>
      </w:r>
      <w:r w:rsidR="00197544" w:rsidRPr="00C075E9">
        <w:t xml:space="preserve"> </w:t>
      </w:r>
      <w:r w:rsidR="00400D9E">
        <w:t>(Roberts et al. 1998)</w:t>
      </w:r>
      <w:r w:rsidRPr="00C075E9">
        <w:t>. These findings are also similar to those of Cameron et al. who found that the majority of respondents in Scotland had most of their patients supervised daily (implying 5-7 days)</w:t>
      </w:r>
      <w:r w:rsidR="00197544" w:rsidRPr="00C075E9">
        <w:t xml:space="preserve"> </w:t>
      </w:r>
      <w:r w:rsidR="00400D9E">
        <w:t>(Cameron et al. 2002)</w:t>
      </w:r>
      <w:r w:rsidRPr="00C075E9">
        <w:t>.</w:t>
      </w:r>
    </w:p>
    <w:p w:rsidR="009575C6" w:rsidRPr="00C075E9" w:rsidRDefault="009575C6" w:rsidP="00284448">
      <w:pPr>
        <w:rPr>
          <w:lang w:eastAsia="zh-CN"/>
        </w:rPr>
      </w:pPr>
    </w:p>
    <w:p w:rsidR="009575C6" w:rsidRPr="00C075E9" w:rsidRDefault="009575C6" w:rsidP="00284448">
      <w:proofErr w:type="gramStart"/>
      <w:r w:rsidRPr="00C075E9">
        <w:t>Clinicians</w:t>
      </w:r>
      <w:proofErr w:type="gramEnd"/>
      <w:r w:rsidRPr="00C075E9">
        <w:t xml:space="preserve"> who decreased supervision gradually, as opposed to altogether, generally stated that this was done via a reduction in dispensing frequency, with mixed responses regarding whether consumption was supervised on dispensing days. This demonstrates that the D</w:t>
      </w:r>
      <w:r w:rsidR="00CA1250">
        <w:t>o</w:t>
      </w:r>
      <w:r w:rsidRPr="00C075E9">
        <w:t xml:space="preserve">H guidelines regarding the discontinuation of supervision (i.e. to move to daily dispensing </w:t>
      </w:r>
      <w:r w:rsidRPr="00C075E9">
        <w:lastRenderedPageBreak/>
        <w:t>without supervision) are not being followed by all</w:t>
      </w:r>
      <w:r w:rsidR="00197544" w:rsidRPr="00C075E9">
        <w:t xml:space="preserve"> </w:t>
      </w:r>
      <w:r w:rsidR="00400D9E">
        <w:t>(Department of Health (England) and the devolved administrations 2007)</w:t>
      </w:r>
      <w:r w:rsidRPr="00C075E9">
        <w:t>. Furthermore, a considerable proportion (44%) stopped supervision altogether rather than reduce it gradually. A possible explanation for this may be due to resource constraints as supervision places a considerable workload on pharmacies</w:t>
      </w:r>
      <w:r w:rsidR="00197544" w:rsidRPr="00C075E9">
        <w:t xml:space="preserve"> </w:t>
      </w:r>
      <w:r w:rsidR="00400D9E">
        <w:t xml:space="preserve">(Matheson, Bond and </w:t>
      </w:r>
      <w:proofErr w:type="spellStart"/>
      <w:r w:rsidR="00400D9E">
        <w:t>Tinelli</w:t>
      </w:r>
      <w:proofErr w:type="spellEnd"/>
      <w:r w:rsidR="00400D9E">
        <w:t xml:space="preserve"> 2007)</w:t>
      </w:r>
      <w:r w:rsidRPr="00C075E9">
        <w:t>.</w:t>
      </w:r>
    </w:p>
    <w:p w:rsidR="009575C6" w:rsidRPr="00C075E9" w:rsidRDefault="009575C6" w:rsidP="00284448"/>
    <w:p w:rsidR="009575C6" w:rsidRPr="00C075E9" w:rsidRDefault="009575C6" w:rsidP="00284448">
      <w:r w:rsidRPr="00C075E9">
        <w:t xml:space="preserve">A third of respondents indicated that they used a different approach to supervision in relation to buprenorphine maintenance treatment (BMT), particularly in the form of </w:t>
      </w:r>
      <w:proofErr w:type="spellStart"/>
      <w:r w:rsidRPr="00C075E9">
        <w:t>Suboxone</w:t>
      </w:r>
      <w:proofErr w:type="spellEnd"/>
      <w:r w:rsidRPr="00C075E9">
        <w:t>, which has been demonstrated to be sa</w:t>
      </w:r>
      <w:r w:rsidR="00197544" w:rsidRPr="00C075E9">
        <w:t xml:space="preserve">fer than methadone </w:t>
      </w:r>
      <w:r w:rsidR="00400D9E">
        <w:t>(Meehan 2010)</w:t>
      </w:r>
      <w:proofErr w:type="gramStart"/>
      <w:r w:rsidR="00197544" w:rsidRPr="00C075E9">
        <w:t>,</w:t>
      </w:r>
      <w:proofErr w:type="gramEnd"/>
      <w:r w:rsidRPr="00C075E9">
        <w:t xml:space="preserve"> therefore the need for supervision is less pertinent. Fewer respondents chose the ‘not applicable’ option compared to the Scottish survey (3.5% compared to 9.4%), suggesting BMT may be more widely prescribed in England. Clinicians using BMT generally stated that the greater safety profile and longer time required by pharmacists to supervise its consumption compared to MMT was a major factor for using a different approach to BMT supervision. </w:t>
      </w:r>
      <w:proofErr w:type="spellStart"/>
      <w:r w:rsidRPr="00C075E9">
        <w:t>Strang</w:t>
      </w:r>
      <w:proofErr w:type="spellEnd"/>
      <w:r w:rsidRPr="00C075E9">
        <w:t xml:space="preserve"> et al. demonstrated similar findings, with a significantly higher number of patients on MMT being supervised than those on BMT</w:t>
      </w:r>
      <w:r w:rsidR="00197544" w:rsidRPr="00C075E9">
        <w:t xml:space="preserve"> </w:t>
      </w:r>
      <w:r w:rsidR="00400D9E">
        <w:t>(</w:t>
      </w:r>
      <w:proofErr w:type="spellStart"/>
      <w:r w:rsidR="00400D9E">
        <w:t>Strang</w:t>
      </w:r>
      <w:proofErr w:type="spellEnd"/>
      <w:r w:rsidR="00400D9E">
        <w:t xml:space="preserve"> et al. 2007)</w:t>
      </w:r>
      <w:r w:rsidR="00197544" w:rsidRPr="00C075E9">
        <w:t>.</w:t>
      </w:r>
    </w:p>
    <w:p w:rsidR="009575C6" w:rsidRPr="00C075E9" w:rsidRDefault="009575C6" w:rsidP="00284448"/>
    <w:p w:rsidR="009575C6" w:rsidRPr="00C075E9" w:rsidRDefault="009575C6" w:rsidP="00284448">
      <w:r w:rsidRPr="00C075E9">
        <w:t>Clinicians were asked whether, in their personal experience, supervision arrangements ever excluded any patients from starting treatment. The responses indicated that such exclusion</w:t>
      </w:r>
      <w:r w:rsidR="00CA1250">
        <w:t>s</w:t>
      </w:r>
      <w:r w:rsidRPr="00C075E9">
        <w:t xml:space="preserve"> happened in a minority of cases, for reasons such as employment commitments and difficulty getting to the location. Many of those who held the opinion that supervision arrangements did not exclude patients from starting treatment supplemented this with a comment stating that it was because they took a more flexible approach when faced with patients who would be negatively affected by supervision arrangements. In order for some patients to start treatment, programmes need to be tailored to the individual and their specific circumstances, which is precisely what some clinicians were doing.</w:t>
      </w:r>
    </w:p>
    <w:p w:rsidR="009575C6" w:rsidRPr="00C075E9" w:rsidRDefault="009575C6" w:rsidP="00284448"/>
    <w:p w:rsidR="009575C6" w:rsidRPr="00C075E9" w:rsidRDefault="009575C6" w:rsidP="00284448">
      <w:r w:rsidRPr="00C075E9">
        <w:t xml:space="preserve">Results revealed that supervision arrangements were believed by clinicians to cause a minority of patients to drop out of treatment. The most frequent reasons were </w:t>
      </w:r>
      <w:r w:rsidR="00197544" w:rsidRPr="00C075E9">
        <w:t>‘</w:t>
      </w:r>
      <w:r w:rsidRPr="00C075E9">
        <w:t>inap</w:t>
      </w:r>
      <w:r w:rsidR="00197544" w:rsidRPr="00C075E9">
        <w:t>propriate take home demands’</w:t>
      </w:r>
      <w:r w:rsidRPr="00C075E9">
        <w:t xml:space="preserve"> </w:t>
      </w:r>
      <w:r w:rsidR="00197544" w:rsidRPr="00C075E9">
        <w:t xml:space="preserve">and </w:t>
      </w:r>
      <w:r w:rsidRPr="00C075E9">
        <w:t>‘emplo</w:t>
      </w:r>
      <w:r w:rsidR="00197544" w:rsidRPr="00C075E9">
        <w:t>yment/education commitments’</w:t>
      </w:r>
      <w:r w:rsidRPr="00C075E9">
        <w:t xml:space="preserve">. Similar results were found by Anthony </w:t>
      </w:r>
      <w:r w:rsidR="003D270B">
        <w:t>and colleagues</w:t>
      </w:r>
      <w:r w:rsidR="00197544" w:rsidRPr="00C075E9">
        <w:t xml:space="preserve"> </w:t>
      </w:r>
      <w:r w:rsidR="00400D9E">
        <w:t>(Anthony et al. 2011)</w:t>
      </w:r>
      <w:r w:rsidR="00197544" w:rsidRPr="00C075E9">
        <w:t>.</w:t>
      </w:r>
      <w:r w:rsidRPr="00C075E9">
        <w:t xml:space="preserve"> In the case of those in full-time employment, the fact that they are capable of remaining in employment suggests that they are more stable. The evidence suggests that in order to reduce the number of people dropping out of treatment, flexibility regarding supervision arrangements should be encouraged in genuine cases and according to the clinician’s discretion.</w:t>
      </w:r>
    </w:p>
    <w:p w:rsidR="009575C6" w:rsidRPr="00C075E9" w:rsidRDefault="009575C6" w:rsidP="00284448"/>
    <w:p w:rsidR="009575C6" w:rsidRPr="00C075E9" w:rsidRDefault="009575C6" w:rsidP="00284448">
      <w:r w:rsidRPr="00C075E9">
        <w:lastRenderedPageBreak/>
        <w:t>The study found that continge</w:t>
      </w:r>
      <w:r w:rsidR="003D270B">
        <w:t>ncy management is widely practis</w:t>
      </w:r>
      <w:r w:rsidRPr="00C075E9">
        <w:t>ed. Similar results were found by Hart et al. in which approximately 80% of services stated that they used at least two forms of contingency management reinforcement methods to encourage abstinence fr</w:t>
      </w:r>
      <w:r w:rsidR="00197544" w:rsidRPr="00C075E9">
        <w:t xml:space="preserve">om crack/cocaine </w:t>
      </w:r>
      <w:r w:rsidR="00400D9E">
        <w:t>(Weaver et al. 2007)</w:t>
      </w:r>
      <w:r w:rsidR="00197544" w:rsidRPr="00C075E9">
        <w:t>.</w:t>
      </w:r>
      <w:r w:rsidRPr="00C075E9">
        <w:t xml:space="preserve"> Similarly to the study by Hart et al., none of the respondents indicated us</w:t>
      </w:r>
      <w:r w:rsidR="00CA1250">
        <w:t>ing</w:t>
      </w:r>
      <w:r w:rsidRPr="00C075E9">
        <w:t xml:space="preserve"> money as a form of con</w:t>
      </w:r>
      <w:r w:rsidR="00197544" w:rsidRPr="00C075E9">
        <w:t xml:space="preserve">tingency management </w:t>
      </w:r>
      <w:r w:rsidR="00400D9E">
        <w:t>(Weaver et al. 2007)</w:t>
      </w:r>
      <w:r w:rsidR="00197544" w:rsidRPr="00C075E9">
        <w:t>.</w:t>
      </w:r>
      <w:r w:rsidRPr="00C075E9">
        <w:t xml:space="preserve"> However a small number (5.4%) used vouchers/coupons. The difference between the results of the survey by Hart et al. and ours may have been because their survey specifically asked about contingency management in relation to abstinence from crack/cocaine, or changes in practice since their survey was conducted.</w:t>
      </w:r>
    </w:p>
    <w:p w:rsidR="009575C6" w:rsidRPr="00C075E9" w:rsidRDefault="009575C6" w:rsidP="00284448">
      <w:pPr>
        <w:rPr>
          <w:lang w:eastAsia="zh-CN"/>
        </w:rPr>
      </w:pPr>
    </w:p>
    <w:p w:rsidR="009575C6" w:rsidRPr="00284448" w:rsidRDefault="009575C6" w:rsidP="00284448">
      <w:pPr>
        <w:pStyle w:val="Heading3"/>
      </w:pPr>
      <w:r w:rsidRPr="00284448">
        <w:t>Strengths and Weaknesses</w:t>
      </w:r>
    </w:p>
    <w:p w:rsidR="009575C6" w:rsidRPr="00C075E9" w:rsidRDefault="009575C6" w:rsidP="00284448">
      <w:r w:rsidRPr="00C075E9">
        <w:t>A weakness of the study was the relatively low response rate (66%)</w:t>
      </w:r>
      <w:proofErr w:type="gramStart"/>
      <w:r w:rsidRPr="00C075E9">
        <w:t>,</w:t>
      </w:r>
      <w:proofErr w:type="gramEnd"/>
      <w:r w:rsidRPr="00C075E9">
        <w:t xml:space="preserve"> therefore the results may not be representative of the entire population of d</w:t>
      </w:r>
      <w:r w:rsidR="00507A06">
        <w:t xml:space="preserve">rug misuse centres in England. </w:t>
      </w:r>
      <w:r w:rsidRPr="00C075E9">
        <w:t>Another methodological challenge was in ensuring the list of clinicians compiled through the range</w:t>
      </w:r>
      <w:r w:rsidR="00507A06">
        <w:t xml:space="preserve"> of methods used was complete. </w:t>
      </w:r>
      <w:r w:rsidRPr="00C075E9">
        <w:t>However, no definitive list existed therefore there</w:t>
      </w:r>
      <w:r w:rsidR="00507A06">
        <w:t xml:space="preserve"> was no alternative available. </w:t>
      </w:r>
      <w:r w:rsidRPr="00C075E9">
        <w:t>Choosing one particular group i.e. substance misuse specialists within the statutory sector limited the scope of the study. Including non-statutory voluntary organisations in the survey may have identified differences between the statut</w:t>
      </w:r>
      <w:r w:rsidR="00507A06">
        <w:t xml:space="preserve">ory and non-statutory sectors. </w:t>
      </w:r>
      <w:r w:rsidRPr="00C075E9">
        <w:t>However, we were not able to establish an up-to-date list of non</w:t>
      </w:r>
      <w:r w:rsidR="005C5AD7">
        <w:t>-statutory treatment providers.</w:t>
      </w:r>
    </w:p>
    <w:p w:rsidR="009575C6" w:rsidRPr="00C075E9" w:rsidRDefault="009575C6" w:rsidP="00284448"/>
    <w:p w:rsidR="009575C6" w:rsidRPr="00C075E9" w:rsidRDefault="009575C6" w:rsidP="00284448">
      <w:r w:rsidRPr="00C075E9">
        <w:t>One strength of our sample was that all statutory drug misuse services were i</w:t>
      </w:r>
      <w:r w:rsidR="00507A06">
        <w:t xml:space="preserve">ncluded, rather than a sample. </w:t>
      </w:r>
      <w:r w:rsidRPr="00C075E9">
        <w:t>A further strength is that our results could be directly compared to the recent Scottish survey as the questions were similarly framed.</w:t>
      </w:r>
    </w:p>
    <w:p w:rsidR="009575C6" w:rsidRPr="00C075E9" w:rsidRDefault="009575C6" w:rsidP="00284448"/>
    <w:p w:rsidR="009575C6" w:rsidRPr="00284448" w:rsidRDefault="00BD60F0" w:rsidP="00284448">
      <w:pPr>
        <w:pStyle w:val="Heading2"/>
      </w:pPr>
      <w:r w:rsidRPr="00284448">
        <w:t>Conclusion</w:t>
      </w:r>
    </w:p>
    <w:p w:rsidR="009575C6" w:rsidRPr="00C075E9" w:rsidRDefault="009575C6" w:rsidP="00284448">
      <w:r w:rsidRPr="00C075E9">
        <w:t xml:space="preserve">This study has shown that </w:t>
      </w:r>
      <w:r w:rsidRPr="00284448">
        <w:t>there is marked heterogeneity in clinicians’ practice of supervised consumption. This means that a patient’s experience of supervision</w:t>
      </w:r>
      <w:r w:rsidR="00507A06">
        <w:t xml:space="preserve"> will vary across the country. </w:t>
      </w:r>
      <w:r w:rsidRPr="00284448">
        <w:t>The striking variation between clinicians suggests uncertainty regarding the optimal approach to supervision. Further research, particularly in the form of RCTs, is necessary to determine the optimal approach in terms of length of supervision and techniques to discontinue supervision, so that practice regarding supervision</w:t>
      </w:r>
      <w:r w:rsidRPr="00C075E9">
        <w:t xml:space="preserve"> arrangements can be evidence-based.</w:t>
      </w:r>
    </w:p>
    <w:p w:rsidR="009575C6" w:rsidRPr="00C075E9" w:rsidRDefault="009575C6" w:rsidP="00284448"/>
    <w:p w:rsidR="009575C6" w:rsidRPr="00C075E9" w:rsidRDefault="009575C6" w:rsidP="00284448">
      <w:r w:rsidRPr="00C075E9">
        <w:t>The findings indicate that many clinicians use a contingency approach to reducing supervision. Further research is necessary to determine if this is indeed the best technique to reduce supervision, or whether alternatives should be used.</w:t>
      </w:r>
    </w:p>
    <w:p w:rsidR="009575C6" w:rsidRPr="00C075E9" w:rsidRDefault="009575C6" w:rsidP="00284448"/>
    <w:p w:rsidR="00284448" w:rsidRPr="00284448" w:rsidRDefault="009575C6" w:rsidP="00284448">
      <w:pPr>
        <w:pStyle w:val="Heading2"/>
      </w:pPr>
      <w:r w:rsidRPr="00284448">
        <w:t>Acknowledgements</w:t>
      </w:r>
    </w:p>
    <w:p w:rsidR="009575C6" w:rsidRPr="00C075E9" w:rsidRDefault="009575C6" w:rsidP="00284448">
      <w:r w:rsidRPr="00C075E9">
        <w:t xml:space="preserve">The authors would like to thank the clinicians who took the time to complete a questionnaire and </w:t>
      </w:r>
      <w:r w:rsidR="00284448">
        <w:t>Drug Action Team</w:t>
      </w:r>
      <w:r w:rsidRPr="00C075E9">
        <w:t xml:space="preserve"> coordinators and others who took the time to provide contact details of clinicians.</w:t>
      </w:r>
    </w:p>
    <w:p w:rsidR="009575C6" w:rsidRPr="00C075E9" w:rsidRDefault="009575C6" w:rsidP="00284448"/>
    <w:p w:rsidR="00284448" w:rsidRPr="00284448" w:rsidRDefault="00284448" w:rsidP="00284448">
      <w:pPr>
        <w:pStyle w:val="Heading2"/>
      </w:pPr>
      <w:r w:rsidRPr="00284448">
        <w:t>Declaration of interest</w:t>
      </w:r>
    </w:p>
    <w:p w:rsidR="00284448" w:rsidRPr="00284448" w:rsidRDefault="00284448" w:rsidP="00284448">
      <w:pPr>
        <w:rPr>
          <w:b/>
          <w:sz w:val="28"/>
          <w:szCs w:val="28"/>
        </w:rPr>
      </w:pPr>
      <w:r w:rsidRPr="00C075E9">
        <w:t xml:space="preserve">This study was conducted as part of a final year honours thesis </w:t>
      </w:r>
      <w:r>
        <w:t xml:space="preserve">and </w:t>
      </w:r>
      <w:r w:rsidRPr="00C075E9">
        <w:t>formed part of a wider programme of work into the practice of supervision and contingency management in opiate maintenance treatment.</w:t>
      </w:r>
      <w:r>
        <w:t xml:space="preserve"> The authors report no conflicts of interest. The authors alone are responsible for the content and writing of the paper.</w:t>
      </w:r>
    </w:p>
    <w:p w:rsidR="003073C0" w:rsidRPr="00C075E9" w:rsidRDefault="009575C6" w:rsidP="003073C0">
      <w:pPr>
        <w:pStyle w:val="Normaltext"/>
      </w:pPr>
      <w:r w:rsidRPr="00C075E9">
        <w:br w:type="page"/>
      </w:r>
    </w:p>
    <w:p w:rsidR="00400D9E" w:rsidRPr="00400D9E" w:rsidRDefault="003073C0" w:rsidP="00400D9E">
      <w:pPr>
        <w:pStyle w:val="Heading2"/>
        <w:jc w:val="left"/>
        <w:divId w:val="1895236062"/>
      </w:pPr>
      <w:r w:rsidRPr="00400D9E">
        <w:rPr>
          <w:rStyle w:val="Heading1Char"/>
        </w:rPr>
        <w:lastRenderedPageBreak/>
        <w:t>References</w:t>
      </w:r>
      <w:r w:rsidR="00400D9E" w:rsidRPr="00400D9E">
        <w:t xml:space="preserve"> </w:t>
      </w:r>
    </w:p>
    <w:p w:rsidR="00400D9E" w:rsidRDefault="00400D9E" w:rsidP="00400D9E">
      <w:pPr>
        <w:pStyle w:val="NormalWeb"/>
        <w:jc w:val="left"/>
        <w:divId w:val="1895236062"/>
      </w:pPr>
      <w:proofErr w:type="gramStart"/>
      <w:r>
        <w:t>Advisory Council on the Misuse of Drugs</w:t>
      </w:r>
      <w:r w:rsidR="00D46C70">
        <w:t>.</w:t>
      </w:r>
      <w:proofErr w:type="gramEnd"/>
      <w:r>
        <w:t xml:space="preserve"> (2000)</w:t>
      </w:r>
      <w:r w:rsidR="00C12C46">
        <w:t>.</w:t>
      </w:r>
      <w:r>
        <w:t xml:space="preserve"> </w:t>
      </w:r>
      <w:proofErr w:type="gramStart"/>
      <w:r>
        <w:rPr>
          <w:i/>
          <w:iCs/>
        </w:rPr>
        <w:t>Reducing</w:t>
      </w:r>
      <w:proofErr w:type="gramEnd"/>
      <w:r>
        <w:rPr>
          <w:i/>
          <w:iCs/>
        </w:rPr>
        <w:t xml:space="preserve"> drug related deaths: a report of the Advisory Council on the Misuse of Drugs</w:t>
      </w:r>
      <w:r w:rsidR="00D46C70">
        <w:rPr>
          <w:i/>
          <w:iCs/>
        </w:rPr>
        <w:t>.</w:t>
      </w:r>
      <w:r>
        <w:rPr>
          <w:i/>
          <w:iCs/>
        </w:rPr>
        <w:t xml:space="preserve"> </w:t>
      </w:r>
      <w:r w:rsidR="00214BF3" w:rsidRPr="00C12C46">
        <w:rPr>
          <w:iCs/>
        </w:rPr>
        <w:t>London</w:t>
      </w:r>
      <w:r w:rsidR="00214BF3">
        <w:rPr>
          <w:iCs/>
        </w:rPr>
        <w:t>: Stationery Office</w:t>
      </w:r>
      <w:r w:rsidR="00C12C46">
        <w:rPr>
          <w:iCs/>
        </w:rPr>
        <w:t>.</w:t>
      </w:r>
      <w:r>
        <w:t xml:space="preserve"> </w:t>
      </w:r>
    </w:p>
    <w:p w:rsidR="00400D9E" w:rsidRPr="000A74DB" w:rsidRDefault="00400D9E" w:rsidP="00400D9E">
      <w:pPr>
        <w:pStyle w:val="NormalWeb"/>
        <w:jc w:val="left"/>
        <w:divId w:val="1895236062"/>
      </w:pPr>
      <w:proofErr w:type="gramStart"/>
      <w:r w:rsidRPr="000A74DB">
        <w:t xml:space="preserve">Anthony, G.B., Matheson, C.I., Holland, R., Bond, C., Roberts, K., </w:t>
      </w:r>
      <w:proofErr w:type="spellStart"/>
      <w:r w:rsidR="001F3D52">
        <w:t>Mac</w:t>
      </w:r>
      <w:r w:rsidRPr="000A74DB">
        <w:t>Rae</w:t>
      </w:r>
      <w:proofErr w:type="spellEnd"/>
      <w:r w:rsidRPr="000A74DB">
        <w:t>, A, Whitelaw, E. and Priyadarshi, S. (2011)</w:t>
      </w:r>
      <w:r w:rsidR="00C12C46" w:rsidRPr="000A74DB">
        <w:t>.</w:t>
      </w:r>
      <w:proofErr w:type="gramEnd"/>
      <w:r w:rsidRPr="000A74DB">
        <w:t xml:space="preserve"> Methadone prescribing under supervised consumption on premises: A Scottish clinician's perspective on prescribing practice</w:t>
      </w:r>
      <w:r w:rsidR="00C12C46" w:rsidRPr="000A74DB">
        <w:t>.</w:t>
      </w:r>
      <w:r w:rsidRPr="000A74DB">
        <w:t xml:space="preserve"> </w:t>
      </w:r>
      <w:r w:rsidRPr="000A74DB">
        <w:rPr>
          <w:i/>
          <w:iCs/>
        </w:rPr>
        <w:t xml:space="preserve">Drug and Alcohol Review, </w:t>
      </w:r>
      <w:r w:rsidR="00214BF3" w:rsidRPr="000A74DB">
        <w:rPr>
          <w:i/>
          <w:iCs/>
          <w:color w:val="222222"/>
          <w:shd w:val="clear" w:color="auto" w:fill="FFFFFF"/>
        </w:rPr>
        <w:t>31</w:t>
      </w:r>
      <w:r w:rsidR="00214BF3" w:rsidRPr="000A74DB">
        <w:rPr>
          <w:color w:val="222222"/>
          <w:shd w:val="clear" w:color="auto" w:fill="FFFFFF"/>
        </w:rPr>
        <w:t>(3), 342-347</w:t>
      </w:r>
      <w:r w:rsidR="00DD667B">
        <w:rPr>
          <w:color w:val="222222"/>
          <w:shd w:val="clear" w:color="auto" w:fill="FFFFFF"/>
        </w:rPr>
        <w:t>,</w:t>
      </w:r>
    </w:p>
    <w:p w:rsidR="00400D9E" w:rsidRPr="000A74DB" w:rsidRDefault="00400D9E" w:rsidP="00400D9E">
      <w:pPr>
        <w:pStyle w:val="NormalWeb"/>
        <w:jc w:val="left"/>
        <w:divId w:val="1895236062"/>
      </w:pPr>
      <w:proofErr w:type="gramStart"/>
      <w:r w:rsidRPr="000A74DB">
        <w:t>Bell, J., Shanahan, M., Mutch, C., Rea, F., Ryan, A., Batey, R., Dunlop, A. and Winstock, A. (2007)</w:t>
      </w:r>
      <w:r w:rsidR="00C12C46" w:rsidRPr="000A74DB">
        <w:t>.</w:t>
      </w:r>
      <w:proofErr w:type="gramEnd"/>
      <w:r w:rsidRPr="000A74DB">
        <w:t xml:space="preserve"> A randomized trial of effectiveness and cost</w:t>
      </w:r>
      <w:r w:rsidRPr="000A74DB">
        <w:rPr>
          <w:rFonts w:ascii="Cambria Math" w:hAnsi="Cambria Math" w:cs="Cambria Math"/>
        </w:rPr>
        <w:t>‐</w:t>
      </w:r>
      <w:r w:rsidRPr="000A74DB">
        <w:t>effectiveness of observed versus unobserved administration of buprenorphine–naloxone for heroin dependence</w:t>
      </w:r>
      <w:r w:rsidR="00C12C46" w:rsidRPr="000A74DB">
        <w:t>.</w:t>
      </w:r>
      <w:r w:rsidRPr="000A74DB">
        <w:t xml:space="preserve"> </w:t>
      </w:r>
      <w:r w:rsidRPr="000A74DB">
        <w:rPr>
          <w:i/>
          <w:iCs/>
        </w:rPr>
        <w:t xml:space="preserve">Addiction, </w:t>
      </w:r>
      <w:r w:rsidRPr="000A74DB">
        <w:rPr>
          <w:i/>
        </w:rPr>
        <w:t>102</w:t>
      </w:r>
      <w:r w:rsidRPr="000A74DB">
        <w:t xml:space="preserve">(12), 1899-1907. </w:t>
      </w:r>
    </w:p>
    <w:p w:rsidR="00400D9E" w:rsidRDefault="00400D9E" w:rsidP="00400D9E">
      <w:pPr>
        <w:pStyle w:val="NormalWeb"/>
        <w:jc w:val="left"/>
        <w:divId w:val="1895236062"/>
      </w:pPr>
      <w:proofErr w:type="gramStart"/>
      <w:r w:rsidRPr="000A74DB">
        <w:t>Cameron, I., Naji, S., Lind, C. and McKeganey, N. (2002)</w:t>
      </w:r>
      <w:r w:rsidR="000A74DB">
        <w:t>.</w:t>
      </w:r>
      <w:proofErr w:type="gramEnd"/>
      <w:r w:rsidRPr="000A74DB">
        <w:t xml:space="preserve"> </w:t>
      </w:r>
      <w:r w:rsidRPr="000A74DB">
        <w:rPr>
          <w:i/>
          <w:iCs/>
        </w:rPr>
        <w:t>Effective Interventions Unit: A Survey of NHS Services for Opiate Dependents</w:t>
      </w:r>
      <w:r>
        <w:rPr>
          <w:i/>
          <w:iCs/>
        </w:rPr>
        <w:t xml:space="preserve"> in Scotland</w:t>
      </w:r>
      <w:r w:rsidR="000A74DB">
        <w:rPr>
          <w:i/>
          <w:iCs/>
        </w:rPr>
        <w:t>.</w:t>
      </w:r>
      <w:r>
        <w:rPr>
          <w:i/>
          <w:iCs/>
        </w:rPr>
        <w:t xml:space="preserve"> </w:t>
      </w:r>
      <w:r>
        <w:t xml:space="preserve">Edinburgh: Scottish Executive. </w:t>
      </w:r>
    </w:p>
    <w:p w:rsidR="00400D9E" w:rsidRPr="00C84AF0" w:rsidRDefault="00400D9E" w:rsidP="00400D9E">
      <w:pPr>
        <w:pStyle w:val="NormalWeb"/>
        <w:jc w:val="left"/>
        <w:divId w:val="1895236062"/>
      </w:pPr>
      <w:proofErr w:type="gramStart"/>
      <w:r>
        <w:t>Department of Health (England) and the devolved administrations (2007)</w:t>
      </w:r>
      <w:r w:rsidR="000A74DB">
        <w:t>.</w:t>
      </w:r>
      <w:proofErr w:type="gramEnd"/>
      <w:r>
        <w:t xml:space="preserve"> </w:t>
      </w:r>
      <w:r>
        <w:rPr>
          <w:i/>
          <w:iCs/>
        </w:rPr>
        <w:t>Drug misuse and dependence: UK guidelines on clinical management</w:t>
      </w:r>
      <w:r w:rsidR="000A74DB">
        <w:rPr>
          <w:i/>
          <w:iCs/>
        </w:rPr>
        <w:t>.</w:t>
      </w:r>
      <w:r>
        <w:rPr>
          <w:i/>
          <w:iCs/>
        </w:rPr>
        <w:t xml:space="preserve"> </w:t>
      </w:r>
      <w:r>
        <w:t xml:space="preserve">London: Department of Health </w:t>
      </w:r>
      <w:r w:rsidRPr="00C84AF0">
        <w:t xml:space="preserve">(England), the Scottish Government, Welsh Assembly Government and Northern Ireland Executive. </w:t>
      </w:r>
    </w:p>
    <w:p w:rsidR="00C84AF0" w:rsidRPr="00C84AF0" w:rsidRDefault="00C84AF0" w:rsidP="00400D9E">
      <w:pPr>
        <w:pStyle w:val="NormalWeb"/>
        <w:jc w:val="left"/>
        <w:divId w:val="1895236062"/>
      </w:pPr>
      <w:proofErr w:type="spellStart"/>
      <w:r w:rsidRPr="00C84AF0">
        <w:t>Gerra</w:t>
      </w:r>
      <w:proofErr w:type="spellEnd"/>
      <w:r w:rsidRPr="00C84AF0">
        <w:t>, G.,</w:t>
      </w:r>
      <w:r w:rsidRPr="00C84AF0">
        <w:rPr>
          <w:color w:val="222222"/>
          <w:shd w:val="clear" w:color="auto" w:fill="FFFFFF"/>
        </w:rPr>
        <w:t xml:space="preserve"> Saenz, E., </w:t>
      </w:r>
      <w:proofErr w:type="spellStart"/>
      <w:r w:rsidRPr="00C84AF0">
        <w:rPr>
          <w:color w:val="222222"/>
          <w:shd w:val="clear" w:color="auto" w:fill="FFFFFF"/>
        </w:rPr>
        <w:t>Busse</w:t>
      </w:r>
      <w:proofErr w:type="spellEnd"/>
      <w:r w:rsidRPr="00C84AF0">
        <w:rPr>
          <w:color w:val="222222"/>
          <w:shd w:val="clear" w:color="auto" w:fill="FFFFFF"/>
        </w:rPr>
        <w:t xml:space="preserve">, A., </w:t>
      </w:r>
      <w:proofErr w:type="spellStart"/>
      <w:r w:rsidRPr="00C84AF0">
        <w:rPr>
          <w:color w:val="222222"/>
          <w:shd w:val="clear" w:color="auto" w:fill="FFFFFF"/>
        </w:rPr>
        <w:t>Maremmani</w:t>
      </w:r>
      <w:proofErr w:type="spellEnd"/>
      <w:r w:rsidRPr="00C84AF0">
        <w:rPr>
          <w:color w:val="222222"/>
          <w:shd w:val="clear" w:color="auto" w:fill="FFFFFF"/>
        </w:rPr>
        <w:t xml:space="preserve">, I., </w:t>
      </w:r>
      <w:proofErr w:type="spellStart"/>
      <w:r w:rsidRPr="00C84AF0">
        <w:rPr>
          <w:color w:val="222222"/>
          <w:shd w:val="clear" w:color="auto" w:fill="FFFFFF"/>
        </w:rPr>
        <w:t>Ciccocioppo</w:t>
      </w:r>
      <w:proofErr w:type="spellEnd"/>
      <w:r w:rsidRPr="00C84AF0">
        <w:rPr>
          <w:color w:val="222222"/>
          <w:shd w:val="clear" w:color="auto" w:fill="FFFFFF"/>
        </w:rPr>
        <w:t xml:space="preserve">, R., </w:t>
      </w:r>
      <w:proofErr w:type="spellStart"/>
      <w:r w:rsidRPr="00C84AF0">
        <w:rPr>
          <w:color w:val="222222"/>
          <w:shd w:val="clear" w:color="auto" w:fill="FFFFFF"/>
        </w:rPr>
        <w:t>Zaimovic</w:t>
      </w:r>
      <w:proofErr w:type="spellEnd"/>
      <w:r w:rsidRPr="00C84AF0">
        <w:rPr>
          <w:color w:val="222222"/>
          <w:shd w:val="clear" w:color="auto" w:fill="FFFFFF"/>
        </w:rPr>
        <w:t xml:space="preserve">, A., </w:t>
      </w:r>
      <w:proofErr w:type="spellStart"/>
      <w:r w:rsidRPr="00C84AF0">
        <w:rPr>
          <w:color w:val="222222"/>
          <w:shd w:val="clear" w:color="auto" w:fill="FFFFFF"/>
        </w:rPr>
        <w:t>Gerra</w:t>
      </w:r>
      <w:proofErr w:type="spellEnd"/>
      <w:r w:rsidRPr="00C84AF0">
        <w:rPr>
          <w:color w:val="222222"/>
          <w:shd w:val="clear" w:color="auto" w:fill="FFFFFF"/>
        </w:rPr>
        <w:t xml:space="preserve">, M.L., Amore, M., </w:t>
      </w:r>
      <w:proofErr w:type="spellStart"/>
      <w:r w:rsidRPr="00C84AF0">
        <w:rPr>
          <w:color w:val="222222"/>
          <w:shd w:val="clear" w:color="auto" w:fill="FFFFFF"/>
        </w:rPr>
        <w:t>Manfredini</w:t>
      </w:r>
      <w:proofErr w:type="spellEnd"/>
      <w:r w:rsidRPr="00C84AF0">
        <w:rPr>
          <w:color w:val="222222"/>
          <w:shd w:val="clear" w:color="auto" w:fill="FFFFFF"/>
        </w:rPr>
        <w:t>, M.</w:t>
      </w:r>
      <w:proofErr w:type="gramStart"/>
      <w:r w:rsidRPr="00C84AF0">
        <w:rPr>
          <w:color w:val="222222"/>
          <w:shd w:val="clear" w:color="auto" w:fill="FFFFFF"/>
        </w:rPr>
        <w:t>,</w:t>
      </w:r>
      <w:proofErr w:type="spellStart"/>
      <w:r w:rsidRPr="00C84AF0">
        <w:rPr>
          <w:color w:val="222222"/>
          <w:shd w:val="clear" w:color="auto" w:fill="FFFFFF"/>
        </w:rPr>
        <w:t>Donnin</w:t>
      </w:r>
      <w:proofErr w:type="spellEnd"/>
      <w:proofErr w:type="gramEnd"/>
      <w:r w:rsidRPr="00C84AF0">
        <w:rPr>
          <w:color w:val="222222"/>
          <w:shd w:val="clear" w:color="auto" w:fill="FFFFFF"/>
        </w:rPr>
        <w:t xml:space="preserve">, C. and </w:t>
      </w:r>
      <w:proofErr w:type="spellStart"/>
      <w:r w:rsidRPr="00C84AF0">
        <w:rPr>
          <w:color w:val="222222"/>
          <w:shd w:val="clear" w:color="auto" w:fill="FFFFFF"/>
        </w:rPr>
        <w:t>Somaini</w:t>
      </w:r>
      <w:proofErr w:type="spellEnd"/>
      <w:r w:rsidRPr="00C84AF0">
        <w:rPr>
          <w:color w:val="222222"/>
          <w:shd w:val="clear" w:color="auto" w:fill="FFFFFF"/>
        </w:rPr>
        <w:t xml:space="preserve">, L. (2011). </w:t>
      </w:r>
      <w:proofErr w:type="gramStart"/>
      <w:r w:rsidRPr="00C84AF0">
        <w:rPr>
          <w:color w:val="222222"/>
          <w:shd w:val="clear" w:color="auto" w:fill="FFFFFF"/>
        </w:rPr>
        <w:t>Supervised daily consumption, contingent take-home incentive and non-contingent take-home in methadone maintenance.</w:t>
      </w:r>
      <w:proofErr w:type="gramEnd"/>
      <w:r w:rsidRPr="00C84AF0">
        <w:rPr>
          <w:rStyle w:val="apple-converted-space"/>
          <w:color w:val="222222"/>
          <w:shd w:val="clear" w:color="auto" w:fill="FFFFFF"/>
        </w:rPr>
        <w:t> </w:t>
      </w:r>
      <w:r w:rsidRPr="00C84AF0">
        <w:rPr>
          <w:i/>
          <w:iCs/>
          <w:color w:val="222222"/>
          <w:shd w:val="clear" w:color="auto" w:fill="FFFFFF"/>
        </w:rPr>
        <w:t>Progress in Neuro-Psychopharmacology and Biological Psychiatry</w:t>
      </w:r>
      <w:r w:rsidRPr="00C84AF0">
        <w:rPr>
          <w:color w:val="222222"/>
          <w:shd w:val="clear" w:color="auto" w:fill="FFFFFF"/>
        </w:rPr>
        <w:t>,</w:t>
      </w:r>
      <w:r w:rsidRPr="00C84AF0">
        <w:rPr>
          <w:rStyle w:val="apple-converted-space"/>
          <w:color w:val="222222"/>
          <w:shd w:val="clear" w:color="auto" w:fill="FFFFFF"/>
        </w:rPr>
        <w:t> </w:t>
      </w:r>
      <w:r w:rsidRPr="00C84AF0">
        <w:rPr>
          <w:i/>
          <w:iCs/>
          <w:color w:val="222222"/>
          <w:shd w:val="clear" w:color="auto" w:fill="FFFFFF"/>
        </w:rPr>
        <w:t>35</w:t>
      </w:r>
      <w:r w:rsidRPr="00C84AF0">
        <w:rPr>
          <w:color w:val="222222"/>
          <w:shd w:val="clear" w:color="auto" w:fill="FFFFFF"/>
        </w:rPr>
        <w:t>(2), 483-489.</w:t>
      </w:r>
    </w:p>
    <w:p w:rsidR="001F3D52" w:rsidRPr="00DD667B" w:rsidRDefault="001F3D52" w:rsidP="00400D9E">
      <w:pPr>
        <w:pStyle w:val="NormalWeb"/>
        <w:jc w:val="left"/>
        <w:divId w:val="1895236062"/>
      </w:pPr>
      <w:proofErr w:type="gramStart"/>
      <w:r w:rsidRPr="00DD667B">
        <w:t xml:space="preserve">Holland, R., Matheson, C., Anthony, G., Roberts, K., </w:t>
      </w:r>
      <w:proofErr w:type="spellStart"/>
      <w:r w:rsidRPr="00DD667B">
        <w:t>Priyadarshi</w:t>
      </w:r>
      <w:proofErr w:type="spellEnd"/>
      <w:r w:rsidRPr="00DD667B">
        <w:t xml:space="preserve">, S., </w:t>
      </w:r>
      <w:proofErr w:type="spellStart"/>
      <w:r w:rsidR="00DD667B">
        <w:t>MacRae</w:t>
      </w:r>
      <w:proofErr w:type="spellEnd"/>
      <w:r w:rsidR="00DD667B">
        <w:t>, A., Whitelaw, E.,</w:t>
      </w:r>
      <w:r w:rsidR="00DD667B" w:rsidRPr="00DD667B">
        <w:t xml:space="preserve"> </w:t>
      </w:r>
      <w:proofErr w:type="spellStart"/>
      <w:r w:rsidR="00DD667B" w:rsidRPr="00DD667B">
        <w:t>Appavoo</w:t>
      </w:r>
      <w:proofErr w:type="spellEnd"/>
      <w:r w:rsidR="00DD667B" w:rsidRPr="00DD667B">
        <w:t>, S. and Bond, C. (2012).</w:t>
      </w:r>
      <w:proofErr w:type="gramEnd"/>
      <w:r w:rsidR="00DD667B" w:rsidRPr="00DD667B">
        <w:t xml:space="preserve"> </w:t>
      </w:r>
      <w:r w:rsidR="00DD667B" w:rsidRPr="00DD667B">
        <w:rPr>
          <w:color w:val="222222"/>
          <w:shd w:val="clear" w:color="auto" w:fill="FFFFFF"/>
        </w:rPr>
        <w:t>A pilot randomised controlled trial of brief versus twice weekly versus standard supervised consumption in patients on opiate maintenance treatment.</w:t>
      </w:r>
      <w:r w:rsidR="00DD667B" w:rsidRPr="00DD667B">
        <w:rPr>
          <w:rStyle w:val="apple-converted-space"/>
          <w:color w:val="222222"/>
          <w:shd w:val="clear" w:color="auto" w:fill="FFFFFF"/>
        </w:rPr>
        <w:t> </w:t>
      </w:r>
      <w:r w:rsidR="00DD667B" w:rsidRPr="00DD667B">
        <w:rPr>
          <w:i/>
          <w:iCs/>
          <w:color w:val="222222"/>
          <w:shd w:val="clear" w:color="auto" w:fill="FFFFFF"/>
        </w:rPr>
        <w:t>Drug and alcohol review</w:t>
      </w:r>
      <w:r w:rsidR="00DD667B" w:rsidRPr="00DD667B">
        <w:rPr>
          <w:color w:val="222222"/>
          <w:shd w:val="clear" w:color="auto" w:fill="FFFFFF"/>
        </w:rPr>
        <w:t>,</w:t>
      </w:r>
      <w:r w:rsidR="00DD667B" w:rsidRPr="00DD667B">
        <w:rPr>
          <w:rStyle w:val="apple-converted-space"/>
          <w:color w:val="222222"/>
          <w:shd w:val="clear" w:color="auto" w:fill="FFFFFF"/>
        </w:rPr>
        <w:t> </w:t>
      </w:r>
      <w:r w:rsidR="00DD667B" w:rsidRPr="00DD667B">
        <w:rPr>
          <w:i/>
          <w:iCs/>
          <w:color w:val="222222"/>
          <w:shd w:val="clear" w:color="auto" w:fill="FFFFFF"/>
        </w:rPr>
        <w:t>31</w:t>
      </w:r>
      <w:r w:rsidR="00DD667B" w:rsidRPr="00DD667B">
        <w:rPr>
          <w:color w:val="222222"/>
          <w:shd w:val="clear" w:color="auto" w:fill="FFFFFF"/>
        </w:rPr>
        <w:t>(4). 483-491</w:t>
      </w:r>
      <w:r w:rsidR="00DD667B">
        <w:t>,</w:t>
      </w:r>
    </w:p>
    <w:p w:rsidR="00400D9E" w:rsidRDefault="00400D9E" w:rsidP="00400D9E">
      <w:pPr>
        <w:pStyle w:val="NormalWeb"/>
        <w:jc w:val="left"/>
        <w:divId w:val="1895236062"/>
      </w:pPr>
      <w:proofErr w:type="gramStart"/>
      <w:r>
        <w:t>Matheson, C., Bond, C.M. and Tinelli, M. (2007)</w:t>
      </w:r>
      <w:r w:rsidR="00C12C46">
        <w:t>.</w:t>
      </w:r>
      <w:proofErr w:type="gramEnd"/>
      <w:r>
        <w:t xml:space="preserve"> Community </w:t>
      </w:r>
      <w:proofErr w:type="gramStart"/>
      <w:r>
        <w:t>pharmacy harm</w:t>
      </w:r>
      <w:proofErr w:type="gramEnd"/>
      <w:r>
        <w:t xml:space="preserve"> reduction services for drug misusers: national service delivery and professional attitude development over a decade in Scotland</w:t>
      </w:r>
      <w:r w:rsidR="00C12C46">
        <w:t>.</w:t>
      </w:r>
      <w:r>
        <w:t xml:space="preserve"> </w:t>
      </w:r>
      <w:proofErr w:type="gramStart"/>
      <w:r>
        <w:rPr>
          <w:i/>
          <w:iCs/>
        </w:rPr>
        <w:t>Journal of public health,</w:t>
      </w:r>
      <w:r w:rsidR="00C12C46">
        <w:t xml:space="preserve"> </w:t>
      </w:r>
      <w:r w:rsidRPr="00C12C46">
        <w:rPr>
          <w:i/>
        </w:rPr>
        <w:t>29</w:t>
      </w:r>
      <w:r w:rsidR="00C12C46">
        <w:t>(</w:t>
      </w:r>
      <w:r>
        <w:t>4</w:t>
      </w:r>
      <w:r w:rsidR="00C12C46">
        <w:t>)</w:t>
      </w:r>
      <w:r>
        <w:t>, 350-357.</w:t>
      </w:r>
      <w:proofErr w:type="gramEnd"/>
      <w:r>
        <w:t xml:space="preserve"> </w:t>
      </w:r>
    </w:p>
    <w:p w:rsidR="00400D9E" w:rsidRDefault="00400D9E" w:rsidP="00400D9E">
      <w:pPr>
        <w:pStyle w:val="NormalWeb"/>
        <w:jc w:val="left"/>
        <w:divId w:val="1895236062"/>
      </w:pPr>
      <w:r>
        <w:lastRenderedPageBreak/>
        <w:t>Meehan, W.J. (2010)</w:t>
      </w:r>
      <w:r w:rsidR="000A74DB">
        <w:t>.</w:t>
      </w:r>
      <w:r>
        <w:t xml:space="preserve"> </w:t>
      </w:r>
      <w:r>
        <w:rPr>
          <w:i/>
          <w:iCs/>
        </w:rPr>
        <w:t xml:space="preserve">Opioid Abuse: Overview </w:t>
      </w:r>
      <w:r>
        <w:t xml:space="preserve">[Online]. Available at: </w:t>
      </w:r>
      <w:r w:rsidRPr="00380587">
        <w:t>http://emedicine.medscape.com/article/287790-overview</w:t>
      </w:r>
      <w:r>
        <w:t xml:space="preserve"> [Accessed April 3 2010]. </w:t>
      </w:r>
    </w:p>
    <w:p w:rsidR="00400D9E" w:rsidRDefault="00400D9E" w:rsidP="00400D9E">
      <w:pPr>
        <w:pStyle w:val="NormalWeb"/>
        <w:jc w:val="left"/>
        <w:divId w:val="1895236062"/>
      </w:pPr>
      <w:proofErr w:type="gramStart"/>
      <w:r>
        <w:t>National Institute for Health and Clinical Excellence (2007)</w:t>
      </w:r>
      <w:r w:rsidR="000A74DB">
        <w:t>.</w:t>
      </w:r>
      <w:proofErr w:type="gramEnd"/>
      <w:r>
        <w:t xml:space="preserve"> </w:t>
      </w:r>
      <w:r>
        <w:rPr>
          <w:i/>
          <w:iCs/>
        </w:rPr>
        <w:t xml:space="preserve">Methadone and Buprenorphine for the Management of Opioid Dependence - NICE technology appraisal 114, </w:t>
      </w:r>
      <w:r>
        <w:t xml:space="preserve">London: Methadone and Buprenorphine for the Management of Opioid Dependence - NICE technology appraisal 114. </w:t>
      </w:r>
    </w:p>
    <w:p w:rsidR="00400D9E" w:rsidRDefault="00400D9E" w:rsidP="00400D9E">
      <w:pPr>
        <w:pStyle w:val="NormalWeb"/>
        <w:jc w:val="left"/>
        <w:divId w:val="1895236062"/>
      </w:pPr>
      <w:r>
        <w:t>Neale, J. (1999)</w:t>
      </w:r>
      <w:r w:rsidR="00C12C46">
        <w:t>.</w:t>
      </w:r>
      <w:r>
        <w:t xml:space="preserve"> </w:t>
      </w:r>
      <w:proofErr w:type="gramStart"/>
      <w:r>
        <w:t>Drug users' views of substitute prescribing conditions</w:t>
      </w:r>
      <w:r w:rsidR="00C12C46">
        <w:t>.</w:t>
      </w:r>
      <w:proofErr w:type="gramEnd"/>
      <w:r>
        <w:t xml:space="preserve"> </w:t>
      </w:r>
      <w:r>
        <w:rPr>
          <w:i/>
          <w:iCs/>
        </w:rPr>
        <w:t xml:space="preserve">International Journal of Drug Policy, </w:t>
      </w:r>
      <w:r w:rsidRPr="00D46C70">
        <w:rPr>
          <w:i/>
        </w:rPr>
        <w:t>10</w:t>
      </w:r>
      <w:r w:rsidR="00C12C46">
        <w:t>(</w:t>
      </w:r>
      <w:r>
        <w:t>3</w:t>
      </w:r>
      <w:r w:rsidR="00C12C46">
        <w:t>)</w:t>
      </w:r>
      <w:r>
        <w:t xml:space="preserve">, 247-258. </w:t>
      </w:r>
    </w:p>
    <w:p w:rsidR="00400D9E" w:rsidRDefault="00400D9E" w:rsidP="00400D9E">
      <w:pPr>
        <w:pStyle w:val="NormalWeb"/>
        <w:jc w:val="left"/>
        <w:divId w:val="1895236062"/>
      </w:pPr>
      <w:proofErr w:type="gramStart"/>
      <w:r>
        <w:t>Rhoades, H.M., Creson, D., Elk, R., Schmitz, J. and Grabowski, J. (1998)</w:t>
      </w:r>
      <w:r w:rsidR="00D46C70">
        <w:t>.</w:t>
      </w:r>
      <w:proofErr w:type="gramEnd"/>
      <w:r>
        <w:t xml:space="preserve"> Retention, HIV risk, and illicit drug use during treatment: methadone dose and visit frequency. </w:t>
      </w:r>
      <w:r>
        <w:rPr>
          <w:i/>
          <w:iCs/>
        </w:rPr>
        <w:t xml:space="preserve">American Journal of Public Health, </w:t>
      </w:r>
      <w:r w:rsidRPr="00C12C46">
        <w:rPr>
          <w:i/>
        </w:rPr>
        <w:t>88</w:t>
      </w:r>
      <w:r w:rsidR="00C12C46">
        <w:t>(</w:t>
      </w:r>
      <w:r>
        <w:t>1</w:t>
      </w:r>
      <w:r w:rsidR="00C12C46">
        <w:t>)</w:t>
      </w:r>
      <w:r>
        <w:t xml:space="preserve"> 34-39. </w:t>
      </w:r>
    </w:p>
    <w:p w:rsidR="00400D9E" w:rsidRDefault="00400D9E" w:rsidP="00400D9E">
      <w:pPr>
        <w:pStyle w:val="NormalWeb"/>
        <w:jc w:val="left"/>
        <w:divId w:val="1895236062"/>
      </w:pPr>
      <w:r>
        <w:t>Roberts, K., McNulty, H., Gruer, L., Scott, R. and Bryson, S. (1998)</w:t>
      </w:r>
      <w:r w:rsidR="00D46C70">
        <w:t>.</w:t>
      </w:r>
      <w:r>
        <w:t xml:space="preserve"> </w:t>
      </w:r>
      <w:proofErr w:type="gramStart"/>
      <w:r>
        <w:t>The role of Glasgow pharmacists in the management of drug misuse</w:t>
      </w:r>
      <w:r w:rsidR="00D46C70">
        <w:t>.</w:t>
      </w:r>
      <w:proofErr w:type="gramEnd"/>
      <w:r>
        <w:t xml:space="preserve"> </w:t>
      </w:r>
      <w:r>
        <w:rPr>
          <w:i/>
          <w:iCs/>
        </w:rPr>
        <w:t xml:space="preserve">International Journal of Drug Policy, </w:t>
      </w:r>
      <w:r w:rsidRPr="00C12C46">
        <w:rPr>
          <w:i/>
        </w:rPr>
        <w:t>9</w:t>
      </w:r>
      <w:r w:rsidR="00C12C46">
        <w:t>(</w:t>
      </w:r>
      <w:r>
        <w:t>3</w:t>
      </w:r>
      <w:r w:rsidR="00C12C46">
        <w:t>)</w:t>
      </w:r>
      <w:r>
        <w:t xml:space="preserve">, 187-194. </w:t>
      </w:r>
    </w:p>
    <w:p w:rsidR="00400D9E" w:rsidRDefault="00400D9E" w:rsidP="00400D9E">
      <w:pPr>
        <w:pStyle w:val="NormalWeb"/>
        <w:jc w:val="left"/>
        <w:divId w:val="1895236062"/>
      </w:pPr>
      <w:proofErr w:type="gramStart"/>
      <w:r>
        <w:t>Silverman, K., Wong, C.J., Higgins, S.T., Brooner, R.K., Montoya, I.D., Contoreggi, C., Umbricht-Schneiter, A., Schuster, C.R. and Preston, K.L. (1996)</w:t>
      </w:r>
      <w:r w:rsidR="000A74DB">
        <w:t>.</w:t>
      </w:r>
      <w:proofErr w:type="gramEnd"/>
      <w:r>
        <w:t xml:space="preserve"> </w:t>
      </w:r>
      <w:proofErr w:type="gramStart"/>
      <w:r>
        <w:t>Increasing opiate abstinence through voucher-based reinforcement therapy</w:t>
      </w:r>
      <w:r w:rsidR="000A74DB">
        <w:t>.</w:t>
      </w:r>
      <w:proofErr w:type="gramEnd"/>
      <w:r>
        <w:t xml:space="preserve"> </w:t>
      </w:r>
      <w:proofErr w:type="gramStart"/>
      <w:r>
        <w:rPr>
          <w:i/>
          <w:iCs/>
        </w:rPr>
        <w:t xml:space="preserve">Drug and alcohol dependence, </w:t>
      </w:r>
      <w:r w:rsidRPr="00C12C46">
        <w:rPr>
          <w:i/>
        </w:rPr>
        <w:t>41</w:t>
      </w:r>
      <w:r>
        <w:t>(2), 157-165.</w:t>
      </w:r>
      <w:proofErr w:type="gramEnd"/>
      <w:r>
        <w:t xml:space="preserve"> </w:t>
      </w:r>
    </w:p>
    <w:p w:rsidR="00400D9E" w:rsidRDefault="00400D9E" w:rsidP="00400D9E">
      <w:pPr>
        <w:pStyle w:val="NormalWeb"/>
        <w:jc w:val="left"/>
        <w:divId w:val="1895236062"/>
      </w:pPr>
      <w:proofErr w:type="gramStart"/>
      <w:r>
        <w:t>Strang, J., Manning, V., Mayet, S., Ridge, G., Best, D. and Sheridan, J. (2007)</w:t>
      </w:r>
      <w:r w:rsidR="00D46C70">
        <w:t>.</w:t>
      </w:r>
      <w:proofErr w:type="gramEnd"/>
      <w:r>
        <w:t xml:space="preserve"> Does prescribing for opiate addiction change after national guidelines? </w:t>
      </w:r>
      <w:proofErr w:type="gramStart"/>
      <w:r>
        <w:t>Methadone and buprenorphine prescribing to opiate addicts by general practitioners and hospital doctors in England, 1995–2005</w:t>
      </w:r>
      <w:r w:rsidR="00D46C70">
        <w:t>.</w:t>
      </w:r>
      <w:proofErr w:type="gramEnd"/>
      <w:r>
        <w:t xml:space="preserve"> </w:t>
      </w:r>
      <w:r>
        <w:rPr>
          <w:i/>
          <w:iCs/>
        </w:rPr>
        <w:t xml:space="preserve">Addiction, </w:t>
      </w:r>
      <w:r w:rsidRPr="00C12C46">
        <w:rPr>
          <w:i/>
        </w:rPr>
        <w:t>102</w:t>
      </w:r>
      <w:r w:rsidR="00C12C46">
        <w:t>(</w:t>
      </w:r>
      <w:r>
        <w:t>5</w:t>
      </w:r>
      <w:r w:rsidR="00C12C46">
        <w:t>)</w:t>
      </w:r>
      <w:r>
        <w:t xml:space="preserve">, 761-770. </w:t>
      </w:r>
    </w:p>
    <w:p w:rsidR="00400D9E" w:rsidRDefault="00400D9E" w:rsidP="00400D9E">
      <w:pPr>
        <w:pStyle w:val="NormalWeb"/>
        <w:jc w:val="left"/>
        <w:divId w:val="1895236062"/>
      </w:pPr>
      <w:proofErr w:type="gramStart"/>
      <w:r>
        <w:t>Weaver, T., Hart, J., Fehler, J., Metrebian, N., D’Agostino, T. and Benn, P. (2007)</w:t>
      </w:r>
      <w:r w:rsidR="000A74DB">
        <w:t>.</w:t>
      </w:r>
      <w:proofErr w:type="gramEnd"/>
      <w:r>
        <w:t xml:space="preserve"> </w:t>
      </w:r>
      <w:r>
        <w:rPr>
          <w:i/>
          <w:iCs/>
        </w:rPr>
        <w:t xml:space="preserve">Are contingency management principles being implemented in drug treatment in England? </w:t>
      </w:r>
      <w:r>
        <w:t xml:space="preserve">London: National Treatment Agency for Substance Misuse. </w:t>
      </w:r>
    </w:p>
    <w:p w:rsidR="001336C5" w:rsidRDefault="001336C5">
      <w:pPr>
        <w:spacing w:line="240" w:lineRule="auto"/>
        <w:jc w:val="left"/>
      </w:pPr>
      <w:r>
        <w:br w:type="page"/>
      </w:r>
    </w:p>
    <w:p w:rsidR="001336C5" w:rsidRPr="00C075E9" w:rsidRDefault="001336C5" w:rsidP="001336C5">
      <w:pPr>
        <w:jc w:val="left"/>
      </w:pPr>
      <w:proofErr w:type="gramStart"/>
      <w:r w:rsidRPr="00C075E9">
        <w:lastRenderedPageBreak/>
        <w:t>Table</w:t>
      </w:r>
      <w:r>
        <w:t xml:space="preserve"> 1.</w:t>
      </w:r>
      <w:proofErr w:type="gramEnd"/>
      <w:r w:rsidRPr="00C075E9">
        <w:t xml:space="preserve"> Clinical management of a positive urinalysis</w:t>
      </w:r>
    </w:p>
    <w:p w:rsidR="001336C5" w:rsidRPr="00C075E9" w:rsidRDefault="001336C5" w:rsidP="001336C5">
      <w:pPr>
        <w:pStyle w:val="Normaltext"/>
      </w:pPr>
    </w:p>
    <w:tbl>
      <w:tblPr>
        <w:tblW w:w="5000" w:type="pct"/>
        <w:tblBorders>
          <w:top w:val="single" w:sz="12" w:space="0" w:color="000000"/>
          <w:bottom w:val="single" w:sz="12" w:space="0" w:color="000000"/>
        </w:tblBorders>
        <w:tblLook w:val="0000" w:firstRow="0" w:lastRow="0" w:firstColumn="0" w:lastColumn="0" w:noHBand="0" w:noVBand="0"/>
      </w:tblPr>
      <w:tblGrid>
        <w:gridCol w:w="7994"/>
        <w:gridCol w:w="625"/>
        <w:gridCol w:w="623"/>
      </w:tblGrid>
      <w:tr w:rsidR="001336C5" w:rsidRPr="00A423EE" w:rsidTr="007D47BB">
        <w:trPr>
          <w:trHeight w:val="488"/>
        </w:trPr>
        <w:tc>
          <w:tcPr>
            <w:tcW w:w="4325" w:type="pct"/>
            <w:tcBorders>
              <w:top w:val="single" w:sz="12" w:space="0" w:color="auto"/>
              <w:bottom w:val="single" w:sz="12" w:space="0" w:color="auto"/>
            </w:tcBorders>
          </w:tcPr>
          <w:p w:rsidR="001336C5" w:rsidRPr="00A423EE" w:rsidRDefault="001336C5" w:rsidP="007D47BB">
            <w:pPr>
              <w:rPr>
                <w:sz w:val="20"/>
                <w:szCs w:val="20"/>
              </w:rPr>
            </w:pPr>
            <w:r w:rsidRPr="00A423EE">
              <w:rPr>
                <w:sz w:val="20"/>
                <w:szCs w:val="20"/>
              </w:rPr>
              <w:t>Category of response</w:t>
            </w:r>
          </w:p>
        </w:tc>
        <w:tc>
          <w:tcPr>
            <w:tcW w:w="338" w:type="pct"/>
            <w:tcBorders>
              <w:top w:val="single" w:sz="12" w:space="0" w:color="auto"/>
              <w:bottom w:val="single" w:sz="12" w:space="0" w:color="auto"/>
            </w:tcBorders>
          </w:tcPr>
          <w:p w:rsidR="001336C5" w:rsidRPr="00A423EE" w:rsidRDefault="001336C5" w:rsidP="007D47BB">
            <w:pPr>
              <w:jc w:val="right"/>
              <w:rPr>
                <w:sz w:val="20"/>
                <w:szCs w:val="20"/>
              </w:rPr>
            </w:pPr>
            <w:r w:rsidRPr="00A423EE">
              <w:rPr>
                <w:sz w:val="20"/>
                <w:szCs w:val="20"/>
              </w:rPr>
              <w:t>N</w:t>
            </w:r>
          </w:p>
        </w:tc>
        <w:tc>
          <w:tcPr>
            <w:tcW w:w="337" w:type="pct"/>
            <w:tcBorders>
              <w:top w:val="single" w:sz="12" w:space="0" w:color="auto"/>
              <w:bottom w:val="single" w:sz="12" w:space="0" w:color="auto"/>
            </w:tcBorders>
          </w:tcPr>
          <w:p w:rsidR="001336C5" w:rsidRPr="00A423EE" w:rsidRDefault="001336C5" w:rsidP="007D47BB">
            <w:pPr>
              <w:jc w:val="right"/>
              <w:rPr>
                <w:sz w:val="20"/>
                <w:szCs w:val="20"/>
              </w:rPr>
            </w:pPr>
            <w:r w:rsidRPr="00A423EE">
              <w:rPr>
                <w:sz w:val="20"/>
                <w:szCs w:val="20"/>
              </w:rPr>
              <w:t>(%)</w:t>
            </w:r>
          </w:p>
        </w:tc>
      </w:tr>
      <w:tr w:rsidR="001336C5" w:rsidRPr="00A423EE" w:rsidTr="007D47BB">
        <w:trPr>
          <w:trHeight w:val="488"/>
        </w:trPr>
        <w:tc>
          <w:tcPr>
            <w:tcW w:w="4325" w:type="pct"/>
            <w:tcBorders>
              <w:top w:val="single" w:sz="12" w:space="0" w:color="auto"/>
              <w:bottom w:val="nil"/>
            </w:tcBorders>
          </w:tcPr>
          <w:p w:rsidR="001336C5" w:rsidRPr="00A423EE" w:rsidRDefault="001336C5" w:rsidP="007D47BB">
            <w:pPr>
              <w:rPr>
                <w:sz w:val="20"/>
                <w:szCs w:val="20"/>
              </w:rPr>
            </w:pPr>
            <w:r w:rsidRPr="00A423EE">
              <w:rPr>
                <w:sz w:val="20"/>
                <w:szCs w:val="20"/>
              </w:rPr>
              <w:t>Possible return to supervised consumption with consideration of other factors, or attempts to reduce illicit use first</w:t>
            </w:r>
          </w:p>
        </w:tc>
        <w:tc>
          <w:tcPr>
            <w:tcW w:w="338" w:type="pct"/>
            <w:tcBorders>
              <w:top w:val="single" w:sz="12" w:space="0" w:color="auto"/>
              <w:bottom w:val="nil"/>
            </w:tcBorders>
          </w:tcPr>
          <w:p w:rsidR="001336C5" w:rsidRPr="00A423EE" w:rsidRDefault="001336C5" w:rsidP="007D47BB">
            <w:pPr>
              <w:jc w:val="right"/>
              <w:rPr>
                <w:sz w:val="20"/>
                <w:szCs w:val="20"/>
              </w:rPr>
            </w:pPr>
            <w:r w:rsidRPr="00A423EE">
              <w:rPr>
                <w:sz w:val="20"/>
                <w:szCs w:val="20"/>
              </w:rPr>
              <w:t>49</w:t>
            </w:r>
          </w:p>
        </w:tc>
        <w:tc>
          <w:tcPr>
            <w:tcW w:w="337" w:type="pct"/>
            <w:tcBorders>
              <w:top w:val="single" w:sz="12" w:space="0" w:color="auto"/>
              <w:bottom w:val="nil"/>
            </w:tcBorders>
          </w:tcPr>
          <w:p w:rsidR="001336C5" w:rsidRPr="00A423EE" w:rsidRDefault="001336C5" w:rsidP="007D47BB">
            <w:pPr>
              <w:jc w:val="right"/>
              <w:rPr>
                <w:sz w:val="20"/>
                <w:szCs w:val="20"/>
              </w:rPr>
            </w:pPr>
            <w:r w:rsidRPr="00A423EE">
              <w:rPr>
                <w:sz w:val="20"/>
                <w:szCs w:val="20"/>
              </w:rPr>
              <w:t>(38)</w:t>
            </w:r>
          </w:p>
        </w:tc>
      </w:tr>
      <w:tr w:rsidR="001336C5" w:rsidRPr="00A423EE" w:rsidTr="007D47BB">
        <w:trPr>
          <w:trHeight w:val="488"/>
        </w:trPr>
        <w:tc>
          <w:tcPr>
            <w:tcW w:w="4325" w:type="pct"/>
            <w:tcBorders>
              <w:top w:val="nil"/>
              <w:bottom w:val="nil"/>
            </w:tcBorders>
          </w:tcPr>
          <w:p w:rsidR="001336C5" w:rsidRPr="00A423EE" w:rsidRDefault="001336C5" w:rsidP="007D47BB">
            <w:pPr>
              <w:rPr>
                <w:sz w:val="20"/>
                <w:szCs w:val="20"/>
              </w:rPr>
            </w:pPr>
            <w:r w:rsidRPr="00A423EE">
              <w:rPr>
                <w:sz w:val="20"/>
                <w:szCs w:val="20"/>
              </w:rPr>
              <w:t>Return to supervision if persistent, or a warning to this effect</w:t>
            </w:r>
          </w:p>
        </w:tc>
        <w:tc>
          <w:tcPr>
            <w:tcW w:w="338" w:type="pct"/>
            <w:tcBorders>
              <w:top w:val="nil"/>
              <w:bottom w:val="nil"/>
            </w:tcBorders>
          </w:tcPr>
          <w:p w:rsidR="001336C5" w:rsidRPr="00A423EE" w:rsidRDefault="001336C5" w:rsidP="007D47BB">
            <w:pPr>
              <w:jc w:val="right"/>
              <w:rPr>
                <w:sz w:val="20"/>
                <w:szCs w:val="20"/>
              </w:rPr>
            </w:pPr>
            <w:r w:rsidRPr="00A423EE">
              <w:rPr>
                <w:sz w:val="20"/>
                <w:szCs w:val="20"/>
              </w:rPr>
              <w:t>31</w:t>
            </w:r>
          </w:p>
        </w:tc>
        <w:tc>
          <w:tcPr>
            <w:tcW w:w="337" w:type="pct"/>
            <w:tcBorders>
              <w:top w:val="nil"/>
              <w:bottom w:val="nil"/>
            </w:tcBorders>
          </w:tcPr>
          <w:p w:rsidR="001336C5" w:rsidRPr="00A423EE" w:rsidRDefault="001336C5" w:rsidP="007D47BB">
            <w:pPr>
              <w:jc w:val="right"/>
              <w:rPr>
                <w:sz w:val="20"/>
                <w:szCs w:val="20"/>
              </w:rPr>
            </w:pPr>
            <w:r w:rsidRPr="00A423EE">
              <w:rPr>
                <w:sz w:val="20"/>
                <w:szCs w:val="20"/>
              </w:rPr>
              <w:t>(24)</w:t>
            </w:r>
          </w:p>
        </w:tc>
      </w:tr>
      <w:tr w:rsidR="001336C5" w:rsidRPr="00A423EE" w:rsidTr="007D47BB">
        <w:trPr>
          <w:trHeight w:val="488"/>
        </w:trPr>
        <w:tc>
          <w:tcPr>
            <w:tcW w:w="4325" w:type="pct"/>
            <w:tcBorders>
              <w:top w:val="nil"/>
              <w:bottom w:val="nil"/>
            </w:tcBorders>
          </w:tcPr>
          <w:p w:rsidR="001336C5" w:rsidRPr="00A423EE" w:rsidRDefault="001336C5" w:rsidP="007D47BB">
            <w:pPr>
              <w:rPr>
                <w:sz w:val="20"/>
                <w:szCs w:val="20"/>
              </w:rPr>
            </w:pPr>
            <w:r w:rsidRPr="00A423EE">
              <w:rPr>
                <w:sz w:val="20"/>
                <w:szCs w:val="20"/>
              </w:rPr>
              <w:t>Return to supervision (with no mention of other considerations)</w:t>
            </w:r>
          </w:p>
        </w:tc>
        <w:tc>
          <w:tcPr>
            <w:tcW w:w="338" w:type="pct"/>
            <w:tcBorders>
              <w:top w:val="nil"/>
              <w:bottom w:val="nil"/>
            </w:tcBorders>
          </w:tcPr>
          <w:p w:rsidR="001336C5" w:rsidRPr="00A423EE" w:rsidRDefault="001336C5" w:rsidP="007D47BB">
            <w:pPr>
              <w:jc w:val="right"/>
              <w:rPr>
                <w:sz w:val="20"/>
                <w:szCs w:val="20"/>
              </w:rPr>
            </w:pPr>
            <w:r w:rsidRPr="00A423EE">
              <w:rPr>
                <w:sz w:val="20"/>
                <w:szCs w:val="20"/>
              </w:rPr>
              <w:t>6</w:t>
            </w:r>
          </w:p>
        </w:tc>
        <w:tc>
          <w:tcPr>
            <w:tcW w:w="337" w:type="pct"/>
            <w:tcBorders>
              <w:top w:val="nil"/>
              <w:bottom w:val="nil"/>
            </w:tcBorders>
          </w:tcPr>
          <w:p w:rsidR="001336C5" w:rsidRPr="00A423EE" w:rsidRDefault="001336C5" w:rsidP="007D47BB">
            <w:pPr>
              <w:jc w:val="right"/>
              <w:rPr>
                <w:sz w:val="20"/>
                <w:szCs w:val="20"/>
              </w:rPr>
            </w:pPr>
            <w:r w:rsidRPr="00A423EE">
              <w:rPr>
                <w:sz w:val="20"/>
                <w:szCs w:val="20"/>
              </w:rPr>
              <w:t>(5)</w:t>
            </w:r>
          </w:p>
        </w:tc>
      </w:tr>
      <w:tr w:rsidR="001336C5" w:rsidRPr="00A423EE" w:rsidTr="007D47BB">
        <w:trPr>
          <w:trHeight w:val="488"/>
        </w:trPr>
        <w:tc>
          <w:tcPr>
            <w:tcW w:w="4325" w:type="pct"/>
            <w:tcBorders>
              <w:top w:val="nil"/>
              <w:bottom w:val="nil"/>
            </w:tcBorders>
          </w:tcPr>
          <w:p w:rsidR="001336C5" w:rsidRPr="00A423EE" w:rsidRDefault="001336C5" w:rsidP="007D47BB">
            <w:pPr>
              <w:rPr>
                <w:sz w:val="20"/>
                <w:szCs w:val="20"/>
              </w:rPr>
            </w:pPr>
            <w:r w:rsidRPr="00A423EE">
              <w:rPr>
                <w:sz w:val="20"/>
                <w:szCs w:val="20"/>
              </w:rPr>
              <w:t>Discussion with patient</w:t>
            </w:r>
          </w:p>
        </w:tc>
        <w:tc>
          <w:tcPr>
            <w:tcW w:w="338" w:type="pct"/>
            <w:tcBorders>
              <w:top w:val="nil"/>
              <w:bottom w:val="nil"/>
            </w:tcBorders>
          </w:tcPr>
          <w:p w:rsidR="001336C5" w:rsidRPr="00A423EE" w:rsidRDefault="001336C5" w:rsidP="007D47BB">
            <w:pPr>
              <w:jc w:val="right"/>
              <w:rPr>
                <w:sz w:val="20"/>
                <w:szCs w:val="20"/>
              </w:rPr>
            </w:pPr>
            <w:r w:rsidRPr="00A423EE">
              <w:rPr>
                <w:sz w:val="20"/>
                <w:szCs w:val="20"/>
              </w:rPr>
              <w:t>51</w:t>
            </w:r>
          </w:p>
        </w:tc>
        <w:tc>
          <w:tcPr>
            <w:tcW w:w="337" w:type="pct"/>
            <w:tcBorders>
              <w:top w:val="nil"/>
              <w:bottom w:val="nil"/>
            </w:tcBorders>
          </w:tcPr>
          <w:p w:rsidR="001336C5" w:rsidRPr="00A423EE" w:rsidRDefault="001336C5" w:rsidP="007D47BB">
            <w:pPr>
              <w:jc w:val="right"/>
              <w:rPr>
                <w:sz w:val="20"/>
                <w:szCs w:val="20"/>
              </w:rPr>
            </w:pPr>
            <w:r w:rsidRPr="00A423EE">
              <w:rPr>
                <w:sz w:val="20"/>
                <w:szCs w:val="20"/>
              </w:rPr>
              <w:t>(40)</w:t>
            </w:r>
          </w:p>
        </w:tc>
      </w:tr>
      <w:tr w:rsidR="001336C5" w:rsidRPr="00A423EE" w:rsidTr="007D47BB">
        <w:trPr>
          <w:trHeight w:val="488"/>
        </w:trPr>
        <w:tc>
          <w:tcPr>
            <w:tcW w:w="4325" w:type="pct"/>
            <w:tcBorders>
              <w:top w:val="nil"/>
              <w:bottom w:val="nil"/>
            </w:tcBorders>
          </w:tcPr>
          <w:p w:rsidR="001336C5" w:rsidRPr="00A423EE" w:rsidRDefault="001336C5" w:rsidP="007D47BB">
            <w:pPr>
              <w:rPr>
                <w:sz w:val="20"/>
                <w:szCs w:val="20"/>
              </w:rPr>
            </w:pPr>
            <w:r w:rsidRPr="00A423EE">
              <w:rPr>
                <w:sz w:val="20"/>
                <w:szCs w:val="20"/>
              </w:rPr>
              <w:t>Depends on overall picture</w:t>
            </w:r>
          </w:p>
        </w:tc>
        <w:tc>
          <w:tcPr>
            <w:tcW w:w="338" w:type="pct"/>
            <w:tcBorders>
              <w:top w:val="nil"/>
              <w:bottom w:val="nil"/>
            </w:tcBorders>
          </w:tcPr>
          <w:p w:rsidR="001336C5" w:rsidRPr="00A423EE" w:rsidRDefault="001336C5" w:rsidP="007D47BB">
            <w:pPr>
              <w:jc w:val="right"/>
              <w:rPr>
                <w:sz w:val="20"/>
                <w:szCs w:val="20"/>
              </w:rPr>
            </w:pPr>
            <w:r w:rsidRPr="00A423EE">
              <w:rPr>
                <w:sz w:val="20"/>
                <w:szCs w:val="20"/>
              </w:rPr>
              <w:t>15</w:t>
            </w:r>
          </w:p>
        </w:tc>
        <w:tc>
          <w:tcPr>
            <w:tcW w:w="337" w:type="pct"/>
            <w:tcBorders>
              <w:top w:val="nil"/>
              <w:bottom w:val="nil"/>
            </w:tcBorders>
          </w:tcPr>
          <w:p w:rsidR="001336C5" w:rsidRPr="00A423EE" w:rsidRDefault="001336C5" w:rsidP="007D47BB">
            <w:pPr>
              <w:jc w:val="right"/>
              <w:rPr>
                <w:sz w:val="20"/>
                <w:szCs w:val="20"/>
              </w:rPr>
            </w:pPr>
            <w:r w:rsidRPr="00A423EE">
              <w:rPr>
                <w:sz w:val="20"/>
                <w:szCs w:val="20"/>
              </w:rPr>
              <w:t>(12)</w:t>
            </w:r>
          </w:p>
        </w:tc>
      </w:tr>
      <w:tr w:rsidR="001336C5" w:rsidRPr="00A423EE" w:rsidTr="007D47BB">
        <w:trPr>
          <w:trHeight w:val="488"/>
        </w:trPr>
        <w:tc>
          <w:tcPr>
            <w:tcW w:w="4325" w:type="pct"/>
            <w:tcBorders>
              <w:top w:val="nil"/>
              <w:bottom w:val="nil"/>
            </w:tcBorders>
          </w:tcPr>
          <w:p w:rsidR="001336C5" w:rsidRPr="00A423EE" w:rsidRDefault="001336C5" w:rsidP="007D47BB">
            <w:pPr>
              <w:rPr>
                <w:sz w:val="20"/>
                <w:szCs w:val="20"/>
              </w:rPr>
            </w:pPr>
            <w:r w:rsidRPr="00A423EE">
              <w:rPr>
                <w:sz w:val="20"/>
                <w:szCs w:val="20"/>
              </w:rPr>
              <w:t>Depends on care plan</w:t>
            </w:r>
          </w:p>
        </w:tc>
        <w:tc>
          <w:tcPr>
            <w:tcW w:w="338" w:type="pct"/>
            <w:tcBorders>
              <w:top w:val="nil"/>
              <w:bottom w:val="nil"/>
            </w:tcBorders>
          </w:tcPr>
          <w:p w:rsidR="001336C5" w:rsidRPr="00A423EE" w:rsidRDefault="001336C5" w:rsidP="007D47BB">
            <w:pPr>
              <w:jc w:val="right"/>
              <w:rPr>
                <w:sz w:val="20"/>
                <w:szCs w:val="20"/>
              </w:rPr>
            </w:pPr>
            <w:r w:rsidRPr="00A423EE">
              <w:rPr>
                <w:sz w:val="20"/>
                <w:szCs w:val="20"/>
              </w:rPr>
              <w:t>4</w:t>
            </w:r>
          </w:p>
        </w:tc>
        <w:tc>
          <w:tcPr>
            <w:tcW w:w="337" w:type="pct"/>
            <w:tcBorders>
              <w:top w:val="nil"/>
              <w:bottom w:val="nil"/>
            </w:tcBorders>
          </w:tcPr>
          <w:p w:rsidR="001336C5" w:rsidRPr="00A423EE" w:rsidRDefault="001336C5" w:rsidP="007D47BB">
            <w:pPr>
              <w:jc w:val="right"/>
              <w:rPr>
                <w:sz w:val="20"/>
                <w:szCs w:val="20"/>
              </w:rPr>
            </w:pPr>
            <w:r w:rsidRPr="00A423EE">
              <w:rPr>
                <w:sz w:val="20"/>
                <w:szCs w:val="20"/>
              </w:rPr>
              <w:t>(3)</w:t>
            </w:r>
          </w:p>
        </w:tc>
      </w:tr>
      <w:tr w:rsidR="001336C5" w:rsidRPr="00A423EE" w:rsidTr="007D47BB">
        <w:trPr>
          <w:trHeight w:val="488"/>
        </w:trPr>
        <w:tc>
          <w:tcPr>
            <w:tcW w:w="4325" w:type="pct"/>
            <w:tcBorders>
              <w:top w:val="nil"/>
              <w:bottom w:val="nil"/>
            </w:tcBorders>
          </w:tcPr>
          <w:p w:rsidR="001336C5" w:rsidRPr="00A423EE" w:rsidRDefault="001336C5" w:rsidP="007D47BB">
            <w:pPr>
              <w:rPr>
                <w:sz w:val="20"/>
                <w:szCs w:val="20"/>
              </w:rPr>
            </w:pPr>
            <w:r w:rsidRPr="00A423EE">
              <w:rPr>
                <w:sz w:val="20"/>
                <w:szCs w:val="20"/>
              </w:rPr>
              <w:t>Review of care plan, medical review, or a change in care</w:t>
            </w:r>
          </w:p>
        </w:tc>
        <w:tc>
          <w:tcPr>
            <w:tcW w:w="338" w:type="pct"/>
            <w:tcBorders>
              <w:top w:val="nil"/>
              <w:bottom w:val="nil"/>
            </w:tcBorders>
          </w:tcPr>
          <w:p w:rsidR="001336C5" w:rsidRPr="00A423EE" w:rsidRDefault="001336C5" w:rsidP="007D47BB">
            <w:pPr>
              <w:jc w:val="right"/>
              <w:rPr>
                <w:sz w:val="20"/>
                <w:szCs w:val="20"/>
              </w:rPr>
            </w:pPr>
            <w:r w:rsidRPr="00A423EE">
              <w:rPr>
                <w:sz w:val="20"/>
                <w:szCs w:val="20"/>
              </w:rPr>
              <w:t>52</w:t>
            </w:r>
          </w:p>
        </w:tc>
        <w:tc>
          <w:tcPr>
            <w:tcW w:w="337" w:type="pct"/>
            <w:tcBorders>
              <w:top w:val="nil"/>
              <w:bottom w:val="nil"/>
            </w:tcBorders>
          </w:tcPr>
          <w:p w:rsidR="001336C5" w:rsidRPr="00A423EE" w:rsidRDefault="001336C5" w:rsidP="007D47BB">
            <w:pPr>
              <w:jc w:val="right"/>
              <w:rPr>
                <w:sz w:val="20"/>
                <w:szCs w:val="20"/>
              </w:rPr>
            </w:pPr>
            <w:r w:rsidRPr="00A423EE">
              <w:rPr>
                <w:sz w:val="20"/>
                <w:szCs w:val="20"/>
              </w:rPr>
              <w:t>(40)</w:t>
            </w:r>
          </w:p>
        </w:tc>
      </w:tr>
      <w:tr w:rsidR="001336C5" w:rsidRPr="00A423EE" w:rsidTr="007D47BB">
        <w:trPr>
          <w:trHeight w:val="488"/>
        </w:trPr>
        <w:tc>
          <w:tcPr>
            <w:tcW w:w="4325" w:type="pct"/>
            <w:tcBorders>
              <w:top w:val="nil"/>
              <w:bottom w:val="single" w:sz="4" w:space="0" w:color="auto"/>
            </w:tcBorders>
          </w:tcPr>
          <w:p w:rsidR="001336C5" w:rsidRPr="00A423EE" w:rsidRDefault="001336C5" w:rsidP="007D47BB">
            <w:pPr>
              <w:rPr>
                <w:sz w:val="20"/>
                <w:szCs w:val="20"/>
              </w:rPr>
            </w:pPr>
            <w:r w:rsidRPr="00A423EE">
              <w:rPr>
                <w:sz w:val="20"/>
                <w:szCs w:val="20"/>
              </w:rPr>
              <w:t>Other</w:t>
            </w:r>
          </w:p>
        </w:tc>
        <w:tc>
          <w:tcPr>
            <w:tcW w:w="338" w:type="pct"/>
            <w:tcBorders>
              <w:top w:val="nil"/>
              <w:bottom w:val="single" w:sz="4" w:space="0" w:color="auto"/>
            </w:tcBorders>
          </w:tcPr>
          <w:p w:rsidR="001336C5" w:rsidRPr="00A423EE" w:rsidRDefault="001336C5" w:rsidP="007D47BB">
            <w:pPr>
              <w:jc w:val="right"/>
              <w:rPr>
                <w:sz w:val="20"/>
                <w:szCs w:val="20"/>
              </w:rPr>
            </w:pPr>
            <w:r w:rsidRPr="00A423EE">
              <w:rPr>
                <w:sz w:val="20"/>
                <w:szCs w:val="20"/>
              </w:rPr>
              <w:t>5</w:t>
            </w:r>
          </w:p>
        </w:tc>
        <w:tc>
          <w:tcPr>
            <w:tcW w:w="337" w:type="pct"/>
            <w:tcBorders>
              <w:top w:val="nil"/>
              <w:bottom w:val="single" w:sz="4" w:space="0" w:color="auto"/>
            </w:tcBorders>
          </w:tcPr>
          <w:p w:rsidR="001336C5" w:rsidRPr="00A423EE" w:rsidRDefault="001336C5" w:rsidP="007D47BB">
            <w:pPr>
              <w:jc w:val="right"/>
              <w:rPr>
                <w:sz w:val="20"/>
                <w:szCs w:val="20"/>
              </w:rPr>
            </w:pPr>
            <w:r w:rsidRPr="00A423EE">
              <w:rPr>
                <w:sz w:val="20"/>
                <w:szCs w:val="20"/>
              </w:rPr>
              <w:t>(5)</w:t>
            </w:r>
          </w:p>
        </w:tc>
      </w:tr>
    </w:tbl>
    <w:p w:rsidR="001336C5" w:rsidRPr="00C075E9" w:rsidRDefault="001336C5" w:rsidP="001336C5">
      <w:pPr>
        <w:pStyle w:val="Normaltext"/>
      </w:pPr>
    </w:p>
    <w:p w:rsidR="003073C0" w:rsidRDefault="003073C0" w:rsidP="00400D9E">
      <w:pPr>
        <w:pStyle w:val="NormalWeb"/>
        <w:jc w:val="left"/>
      </w:pPr>
    </w:p>
    <w:p w:rsidR="001336C5" w:rsidRDefault="001336C5">
      <w:pPr>
        <w:spacing w:line="240" w:lineRule="auto"/>
        <w:jc w:val="left"/>
      </w:pPr>
      <w:r>
        <w:br w:type="page"/>
      </w:r>
    </w:p>
    <w:p w:rsidR="001336C5" w:rsidRPr="00C075E9" w:rsidRDefault="001336C5" w:rsidP="001336C5">
      <w:pPr>
        <w:jc w:val="left"/>
      </w:pPr>
      <w:proofErr w:type="gramStart"/>
      <w:r>
        <w:lastRenderedPageBreak/>
        <w:t>Table 2.</w:t>
      </w:r>
      <w:proofErr w:type="gramEnd"/>
      <w:r w:rsidRPr="00C075E9">
        <w:t xml:space="preserve"> Proportion of patients dropping out of treatment due to supervision arrangements and reasons, as </w:t>
      </w:r>
      <w:r>
        <w:t>perceived</w:t>
      </w:r>
      <w:r w:rsidRPr="00C075E9">
        <w:t xml:space="preserve"> by clinicians (n=62)</w:t>
      </w:r>
    </w:p>
    <w:p w:rsidR="001336C5" w:rsidRPr="00C075E9" w:rsidRDefault="001336C5" w:rsidP="001336C5">
      <w:pPr>
        <w:pStyle w:val="Normaltext"/>
      </w:pPr>
    </w:p>
    <w:tbl>
      <w:tblPr>
        <w:tblW w:w="4999" w:type="pct"/>
        <w:tblBorders>
          <w:top w:val="single" w:sz="12" w:space="0" w:color="000000"/>
          <w:bottom w:val="single" w:sz="12" w:space="0" w:color="000000"/>
        </w:tblBorders>
        <w:tblLook w:val="0000" w:firstRow="0" w:lastRow="0" w:firstColumn="0" w:lastColumn="0" w:noHBand="0" w:noVBand="0"/>
      </w:tblPr>
      <w:tblGrid>
        <w:gridCol w:w="7994"/>
        <w:gridCol w:w="623"/>
        <w:gridCol w:w="623"/>
      </w:tblGrid>
      <w:tr w:rsidR="001336C5" w:rsidRPr="00A423EE" w:rsidTr="007D47BB">
        <w:trPr>
          <w:trHeight w:val="488"/>
        </w:trPr>
        <w:tc>
          <w:tcPr>
            <w:tcW w:w="4326" w:type="pct"/>
            <w:tcBorders>
              <w:top w:val="single" w:sz="12" w:space="0" w:color="auto"/>
              <w:bottom w:val="single" w:sz="12" w:space="0" w:color="auto"/>
            </w:tcBorders>
          </w:tcPr>
          <w:p w:rsidR="001336C5" w:rsidRPr="00A423EE" w:rsidRDefault="001336C5" w:rsidP="007D47BB">
            <w:pPr>
              <w:rPr>
                <w:sz w:val="20"/>
                <w:szCs w:val="20"/>
              </w:rPr>
            </w:pPr>
          </w:p>
        </w:tc>
        <w:tc>
          <w:tcPr>
            <w:tcW w:w="337" w:type="pct"/>
            <w:tcBorders>
              <w:top w:val="single" w:sz="12" w:space="0" w:color="auto"/>
              <w:bottom w:val="single" w:sz="12" w:space="0" w:color="auto"/>
            </w:tcBorders>
          </w:tcPr>
          <w:p w:rsidR="001336C5" w:rsidRPr="00A423EE" w:rsidRDefault="001336C5" w:rsidP="007D47BB">
            <w:pPr>
              <w:jc w:val="right"/>
              <w:rPr>
                <w:sz w:val="20"/>
                <w:szCs w:val="20"/>
              </w:rPr>
            </w:pPr>
            <w:r w:rsidRPr="00A423EE">
              <w:rPr>
                <w:sz w:val="20"/>
                <w:szCs w:val="20"/>
              </w:rPr>
              <w:t>N</w:t>
            </w:r>
          </w:p>
        </w:tc>
        <w:tc>
          <w:tcPr>
            <w:tcW w:w="337" w:type="pct"/>
            <w:tcBorders>
              <w:top w:val="single" w:sz="12" w:space="0" w:color="auto"/>
              <w:bottom w:val="single" w:sz="12" w:space="0" w:color="auto"/>
            </w:tcBorders>
          </w:tcPr>
          <w:p w:rsidR="001336C5" w:rsidRPr="00A423EE" w:rsidRDefault="001336C5" w:rsidP="007D47BB">
            <w:pPr>
              <w:jc w:val="right"/>
              <w:rPr>
                <w:sz w:val="20"/>
                <w:szCs w:val="20"/>
              </w:rPr>
            </w:pPr>
            <w:r w:rsidRPr="00A423EE">
              <w:rPr>
                <w:sz w:val="20"/>
                <w:szCs w:val="20"/>
              </w:rPr>
              <w:t>(%)</w:t>
            </w:r>
          </w:p>
        </w:tc>
      </w:tr>
      <w:tr w:rsidR="001336C5" w:rsidRPr="00A423EE" w:rsidTr="007D47BB">
        <w:trPr>
          <w:trHeight w:val="488"/>
        </w:trPr>
        <w:tc>
          <w:tcPr>
            <w:tcW w:w="4326" w:type="pct"/>
            <w:tcBorders>
              <w:top w:val="single" w:sz="12" w:space="0" w:color="auto"/>
              <w:bottom w:val="nil"/>
            </w:tcBorders>
          </w:tcPr>
          <w:p w:rsidR="001336C5" w:rsidRPr="00A423EE" w:rsidRDefault="001336C5" w:rsidP="007D47BB">
            <w:pPr>
              <w:jc w:val="left"/>
              <w:rPr>
                <w:sz w:val="20"/>
                <w:szCs w:val="20"/>
              </w:rPr>
            </w:pPr>
            <w:r w:rsidRPr="00A423EE">
              <w:rPr>
                <w:sz w:val="20"/>
                <w:szCs w:val="20"/>
              </w:rPr>
              <w:t xml:space="preserve">Perceived proportion </w:t>
            </w:r>
            <w:r>
              <w:rPr>
                <w:sz w:val="20"/>
                <w:szCs w:val="20"/>
              </w:rPr>
              <w:t>of patients dropping out due to supervision arrangements</w:t>
            </w:r>
          </w:p>
        </w:tc>
        <w:tc>
          <w:tcPr>
            <w:tcW w:w="337" w:type="pct"/>
            <w:tcBorders>
              <w:top w:val="single" w:sz="12" w:space="0" w:color="auto"/>
              <w:bottom w:val="nil"/>
            </w:tcBorders>
          </w:tcPr>
          <w:p w:rsidR="001336C5" w:rsidRPr="00A423EE" w:rsidRDefault="001336C5" w:rsidP="007D47BB">
            <w:pPr>
              <w:jc w:val="right"/>
              <w:rPr>
                <w:sz w:val="20"/>
                <w:szCs w:val="20"/>
              </w:rPr>
            </w:pPr>
          </w:p>
        </w:tc>
        <w:tc>
          <w:tcPr>
            <w:tcW w:w="337" w:type="pct"/>
            <w:tcBorders>
              <w:top w:val="single" w:sz="12" w:space="0" w:color="auto"/>
              <w:bottom w:val="nil"/>
            </w:tcBorders>
          </w:tcPr>
          <w:p w:rsidR="001336C5" w:rsidRPr="00A423EE" w:rsidRDefault="001336C5" w:rsidP="007D47BB">
            <w:pPr>
              <w:jc w:val="right"/>
              <w:rPr>
                <w:sz w:val="20"/>
                <w:szCs w:val="20"/>
              </w:rPr>
            </w:pPr>
          </w:p>
        </w:tc>
      </w:tr>
      <w:tr w:rsidR="001336C5" w:rsidRPr="00A423EE" w:rsidTr="007D47BB">
        <w:trPr>
          <w:trHeight w:val="488"/>
        </w:trPr>
        <w:tc>
          <w:tcPr>
            <w:tcW w:w="4326" w:type="pct"/>
            <w:tcBorders>
              <w:top w:val="nil"/>
              <w:bottom w:val="nil"/>
            </w:tcBorders>
          </w:tcPr>
          <w:p w:rsidR="001336C5" w:rsidRPr="00A423EE" w:rsidRDefault="001336C5" w:rsidP="007D47BB">
            <w:pPr>
              <w:rPr>
                <w:sz w:val="20"/>
                <w:szCs w:val="20"/>
              </w:rPr>
            </w:pPr>
            <w:r w:rsidRPr="00A423EE">
              <w:rPr>
                <w:sz w:val="20"/>
                <w:szCs w:val="20"/>
              </w:rPr>
              <w:t>Some (10-30%)</w:t>
            </w:r>
          </w:p>
        </w:tc>
        <w:tc>
          <w:tcPr>
            <w:tcW w:w="337" w:type="pct"/>
            <w:tcBorders>
              <w:top w:val="nil"/>
              <w:bottom w:val="nil"/>
            </w:tcBorders>
          </w:tcPr>
          <w:p w:rsidR="001336C5" w:rsidRPr="00A423EE" w:rsidRDefault="001336C5" w:rsidP="007D47BB">
            <w:pPr>
              <w:jc w:val="right"/>
              <w:rPr>
                <w:sz w:val="20"/>
                <w:szCs w:val="20"/>
              </w:rPr>
            </w:pPr>
            <w:r w:rsidRPr="00A423EE">
              <w:rPr>
                <w:sz w:val="20"/>
                <w:szCs w:val="20"/>
              </w:rPr>
              <w:t>12</w:t>
            </w:r>
          </w:p>
        </w:tc>
        <w:tc>
          <w:tcPr>
            <w:tcW w:w="337" w:type="pct"/>
            <w:tcBorders>
              <w:top w:val="nil"/>
              <w:bottom w:val="nil"/>
            </w:tcBorders>
          </w:tcPr>
          <w:p w:rsidR="001336C5" w:rsidRPr="00A423EE" w:rsidRDefault="001336C5" w:rsidP="007D47BB">
            <w:pPr>
              <w:jc w:val="right"/>
              <w:rPr>
                <w:sz w:val="20"/>
                <w:szCs w:val="20"/>
              </w:rPr>
            </w:pPr>
            <w:r w:rsidRPr="00A423EE">
              <w:rPr>
                <w:sz w:val="20"/>
                <w:szCs w:val="20"/>
              </w:rPr>
              <w:t>(19)</w:t>
            </w:r>
          </w:p>
        </w:tc>
      </w:tr>
      <w:tr w:rsidR="001336C5" w:rsidRPr="00A423EE" w:rsidTr="007D47BB">
        <w:trPr>
          <w:trHeight w:val="488"/>
        </w:trPr>
        <w:tc>
          <w:tcPr>
            <w:tcW w:w="4326" w:type="pct"/>
            <w:tcBorders>
              <w:top w:val="nil"/>
              <w:bottom w:val="nil"/>
            </w:tcBorders>
          </w:tcPr>
          <w:p w:rsidR="001336C5" w:rsidRPr="00A423EE" w:rsidRDefault="001336C5" w:rsidP="007D47BB">
            <w:pPr>
              <w:rPr>
                <w:sz w:val="20"/>
                <w:szCs w:val="20"/>
              </w:rPr>
            </w:pPr>
            <w:r w:rsidRPr="00A423EE">
              <w:rPr>
                <w:sz w:val="20"/>
                <w:szCs w:val="20"/>
              </w:rPr>
              <w:t>A few (&lt;10%)</w:t>
            </w:r>
          </w:p>
        </w:tc>
        <w:tc>
          <w:tcPr>
            <w:tcW w:w="337" w:type="pct"/>
            <w:tcBorders>
              <w:top w:val="nil"/>
              <w:bottom w:val="nil"/>
            </w:tcBorders>
          </w:tcPr>
          <w:p w:rsidR="001336C5" w:rsidRPr="00A423EE" w:rsidRDefault="001336C5" w:rsidP="007D47BB">
            <w:pPr>
              <w:jc w:val="right"/>
              <w:rPr>
                <w:sz w:val="20"/>
                <w:szCs w:val="20"/>
              </w:rPr>
            </w:pPr>
            <w:r w:rsidRPr="00A423EE">
              <w:rPr>
                <w:sz w:val="20"/>
                <w:szCs w:val="20"/>
              </w:rPr>
              <w:t>48</w:t>
            </w:r>
          </w:p>
        </w:tc>
        <w:tc>
          <w:tcPr>
            <w:tcW w:w="337" w:type="pct"/>
            <w:tcBorders>
              <w:top w:val="nil"/>
              <w:bottom w:val="nil"/>
            </w:tcBorders>
          </w:tcPr>
          <w:p w:rsidR="001336C5" w:rsidRPr="00A423EE" w:rsidRDefault="001336C5" w:rsidP="007D47BB">
            <w:pPr>
              <w:jc w:val="right"/>
              <w:rPr>
                <w:sz w:val="20"/>
                <w:szCs w:val="20"/>
              </w:rPr>
            </w:pPr>
            <w:r w:rsidRPr="00A423EE">
              <w:rPr>
                <w:sz w:val="20"/>
                <w:szCs w:val="20"/>
              </w:rPr>
              <w:t>(77)</w:t>
            </w:r>
          </w:p>
        </w:tc>
      </w:tr>
      <w:tr w:rsidR="001336C5" w:rsidRPr="00A423EE" w:rsidTr="007D47BB">
        <w:trPr>
          <w:trHeight w:val="488"/>
        </w:trPr>
        <w:tc>
          <w:tcPr>
            <w:tcW w:w="4326" w:type="pct"/>
            <w:tcBorders>
              <w:top w:val="nil"/>
              <w:bottom w:val="single" w:sz="4" w:space="0" w:color="auto"/>
            </w:tcBorders>
          </w:tcPr>
          <w:p w:rsidR="001336C5" w:rsidRPr="00A423EE" w:rsidRDefault="001336C5" w:rsidP="007D47BB">
            <w:pPr>
              <w:rPr>
                <w:sz w:val="20"/>
                <w:szCs w:val="20"/>
              </w:rPr>
            </w:pPr>
            <w:r w:rsidRPr="00A423EE">
              <w:rPr>
                <w:sz w:val="20"/>
                <w:szCs w:val="20"/>
              </w:rPr>
              <w:t>Missing</w:t>
            </w:r>
          </w:p>
        </w:tc>
        <w:tc>
          <w:tcPr>
            <w:tcW w:w="337" w:type="pct"/>
            <w:tcBorders>
              <w:top w:val="nil"/>
              <w:bottom w:val="single" w:sz="4" w:space="0" w:color="auto"/>
            </w:tcBorders>
          </w:tcPr>
          <w:p w:rsidR="001336C5" w:rsidRPr="00A423EE" w:rsidRDefault="001336C5" w:rsidP="007D47BB">
            <w:pPr>
              <w:jc w:val="right"/>
              <w:rPr>
                <w:sz w:val="20"/>
                <w:szCs w:val="20"/>
              </w:rPr>
            </w:pPr>
            <w:r w:rsidRPr="00A423EE">
              <w:rPr>
                <w:sz w:val="20"/>
                <w:szCs w:val="20"/>
              </w:rPr>
              <w:t>2</w:t>
            </w:r>
          </w:p>
        </w:tc>
        <w:tc>
          <w:tcPr>
            <w:tcW w:w="337" w:type="pct"/>
            <w:tcBorders>
              <w:top w:val="nil"/>
              <w:bottom w:val="single" w:sz="4" w:space="0" w:color="auto"/>
            </w:tcBorders>
          </w:tcPr>
          <w:p w:rsidR="001336C5" w:rsidRPr="00A423EE" w:rsidRDefault="001336C5" w:rsidP="007D47BB">
            <w:pPr>
              <w:jc w:val="right"/>
              <w:rPr>
                <w:sz w:val="20"/>
                <w:szCs w:val="20"/>
              </w:rPr>
            </w:pPr>
            <w:r w:rsidRPr="00A423EE">
              <w:rPr>
                <w:sz w:val="20"/>
                <w:szCs w:val="20"/>
              </w:rPr>
              <w:t>(3)</w:t>
            </w:r>
          </w:p>
        </w:tc>
      </w:tr>
      <w:tr w:rsidR="001336C5" w:rsidRPr="00A423EE" w:rsidTr="007D47BB">
        <w:trPr>
          <w:trHeight w:val="488"/>
        </w:trPr>
        <w:tc>
          <w:tcPr>
            <w:tcW w:w="4326" w:type="pct"/>
            <w:tcBorders>
              <w:top w:val="single" w:sz="4" w:space="0" w:color="auto"/>
              <w:bottom w:val="nil"/>
            </w:tcBorders>
          </w:tcPr>
          <w:p w:rsidR="001336C5" w:rsidRPr="00A423EE" w:rsidRDefault="001336C5" w:rsidP="007D47BB">
            <w:pPr>
              <w:rPr>
                <w:sz w:val="20"/>
                <w:szCs w:val="20"/>
              </w:rPr>
            </w:pPr>
          </w:p>
        </w:tc>
        <w:tc>
          <w:tcPr>
            <w:tcW w:w="337" w:type="pct"/>
            <w:tcBorders>
              <w:top w:val="single" w:sz="4" w:space="0" w:color="auto"/>
              <w:bottom w:val="nil"/>
            </w:tcBorders>
          </w:tcPr>
          <w:p w:rsidR="001336C5" w:rsidRPr="00A423EE" w:rsidRDefault="001336C5" w:rsidP="007D47BB">
            <w:pPr>
              <w:jc w:val="right"/>
              <w:rPr>
                <w:sz w:val="20"/>
                <w:szCs w:val="20"/>
              </w:rPr>
            </w:pPr>
          </w:p>
        </w:tc>
        <w:tc>
          <w:tcPr>
            <w:tcW w:w="337" w:type="pct"/>
            <w:tcBorders>
              <w:top w:val="single" w:sz="4" w:space="0" w:color="auto"/>
              <w:bottom w:val="nil"/>
            </w:tcBorders>
          </w:tcPr>
          <w:p w:rsidR="001336C5" w:rsidRPr="00A423EE" w:rsidRDefault="001336C5" w:rsidP="007D47BB">
            <w:pPr>
              <w:jc w:val="right"/>
              <w:rPr>
                <w:sz w:val="20"/>
                <w:szCs w:val="20"/>
              </w:rPr>
            </w:pPr>
          </w:p>
        </w:tc>
      </w:tr>
      <w:tr w:rsidR="001336C5" w:rsidRPr="00A423EE" w:rsidTr="007D47BB">
        <w:trPr>
          <w:trHeight w:val="488"/>
        </w:trPr>
        <w:tc>
          <w:tcPr>
            <w:tcW w:w="4326" w:type="pct"/>
            <w:tcBorders>
              <w:top w:val="nil"/>
              <w:bottom w:val="nil"/>
            </w:tcBorders>
          </w:tcPr>
          <w:p w:rsidR="001336C5" w:rsidRPr="00A423EE" w:rsidRDefault="001336C5" w:rsidP="007D47BB">
            <w:pPr>
              <w:rPr>
                <w:sz w:val="20"/>
                <w:szCs w:val="20"/>
              </w:rPr>
            </w:pPr>
            <w:r w:rsidRPr="00A423EE">
              <w:rPr>
                <w:sz w:val="20"/>
                <w:szCs w:val="20"/>
              </w:rPr>
              <w:t>Perceived reasons</w:t>
            </w:r>
            <w:r>
              <w:rPr>
                <w:sz w:val="20"/>
                <w:szCs w:val="20"/>
              </w:rPr>
              <w:t xml:space="preserve"> for patients dropping out due to supervision arrangements</w:t>
            </w:r>
          </w:p>
        </w:tc>
        <w:tc>
          <w:tcPr>
            <w:tcW w:w="337" w:type="pct"/>
            <w:tcBorders>
              <w:top w:val="nil"/>
              <w:bottom w:val="nil"/>
            </w:tcBorders>
          </w:tcPr>
          <w:p w:rsidR="001336C5" w:rsidRPr="00A423EE" w:rsidRDefault="001336C5" w:rsidP="007D47BB">
            <w:pPr>
              <w:jc w:val="right"/>
              <w:rPr>
                <w:sz w:val="20"/>
                <w:szCs w:val="20"/>
              </w:rPr>
            </w:pPr>
          </w:p>
        </w:tc>
        <w:tc>
          <w:tcPr>
            <w:tcW w:w="337" w:type="pct"/>
            <w:tcBorders>
              <w:top w:val="nil"/>
              <w:bottom w:val="nil"/>
            </w:tcBorders>
          </w:tcPr>
          <w:p w:rsidR="001336C5" w:rsidRPr="00A423EE" w:rsidRDefault="001336C5" w:rsidP="007D47BB">
            <w:pPr>
              <w:jc w:val="right"/>
              <w:rPr>
                <w:sz w:val="20"/>
                <w:szCs w:val="20"/>
              </w:rPr>
            </w:pPr>
          </w:p>
        </w:tc>
      </w:tr>
      <w:tr w:rsidR="001336C5" w:rsidRPr="00A423EE" w:rsidTr="007D47BB">
        <w:trPr>
          <w:trHeight w:val="488"/>
        </w:trPr>
        <w:tc>
          <w:tcPr>
            <w:tcW w:w="4326" w:type="pct"/>
            <w:tcBorders>
              <w:top w:val="nil"/>
              <w:bottom w:val="nil"/>
            </w:tcBorders>
          </w:tcPr>
          <w:p w:rsidR="001336C5" w:rsidRPr="00A423EE" w:rsidRDefault="001336C5" w:rsidP="007D47BB">
            <w:pPr>
              <w:rPr>
                <w:bCs/>
                <w:sz w:val="20"/>
                <w:szCs w:val="20"/>
              </w:rPr>
            </w:pPr>
            <w:r w:rsidRPr="00A423EE">
              <w:rPr>
                <w:sz w:val="20"/>
                <w:szCs w:val="20"/>
              </w:rPr>
              <w:t>Employment/education commitments</w:t>
            </w:r>
          </w:p>
        </w:tc>
        <w:tc>
          <w:tcPr>
            <w:tcW w:w="337" w:type="pct"/>
            <w:tcBorders>
              <w:top w:val="nil"/>
              <w:bottom w:val="nil"/>
            </w:tcBorders>
          </w:tcPr>
          <w:p w:rsidR="001336C5" w:rsidRPr="00A423EE" w:rsidRDefault="001336C5" w:rsidP="007D47BB">
            <w:pPr>
              <w:jc w:val="right"/>
              <w:rPr>
                <w:sz w:val="20"/>
                <w:szCs w:val="20"/>
              </w:rPr>
            </w:pPr>
            <w:r w:rsidRPr="00A423EE">
              <w:rPr>
                <w:sz w:val="20"/>
                <w:szCs w:val="20"/>
              </w:rPr>
              <w:t>29</w:t>
            </w:r>
          </w:p>
        </w:tc>
        <w:tc>
          <w:tcPr>
            <w:tcW w:w="337" w:type="pct"/>
            <w:tcBorders>
              <w:top w:val="nil"/>
              <w:bottom w:val="nil"/>
            </w:tcBorders>
          </w:tcPr>
          <w:p w:rsidR="001336C5" w:rsidRPr="00A423EE" w:rsidRDefault="001336C5" w:rsidP="007D47BB">
            <w:pPr>
              <w:jc w:val="right"/>
              <w:rPr>
                <w:sz w:val="20"/>
                <w:szCs w:val="20"/>
              </w:rPr>
            </w:pPr>
            <w:r w:rsidRPr="00A423EE">
              <w:rPr>
                <w:sz w:val="20"/>
                <w:szCs w:val="20"/>
              </w:rPr>
              <w:t>(47)</w:t>
            </w:r>
          </w:p>
        </w:tc>
      </w:tr>
      <w:tr w:rsidR="001336C5" w:rsidRPr="00A423EE" w:rsidTr="007D47BB">
        <w:trPr>
          <w:trHeight w:val="488"/>
        </w:trPr>
        <w:tc>
          <w:tcPr>
            <w:tcW w:w="4326" w:type="pct"/>
            <w:tcBorders>
              <w:top w:val="nil"/>
              <w:bottom w:val="nil"/>
            </w:tcBorders>
          </w:tcPr>
          <w:p w:rsidR="001336C5" w:rsidRPr="00A423EE" w:rsidRDefault="001336C5" w:rsidP="007D47BB">
            <w:pPr>
              <w:rPr>
                <w:bCs/>
                <w:sz w:val="20"/>
                <w:szCs w:val="20"/>
              </w:rPr>
            </w:pPr>
            <w:r w:rsidRPr="00A423EE">
              <w:rPr>
                <w:sz w:val="20"/>
                <w:szCs w:val="20"/>
              </w:rPr>
              <w:t>Difficulty getting to location</w:t>
            </w:r>
          </w:p>
        </w:tc>
        <w:tc>
          <w:tcPr>
            <w:tcW w:w="337" w:type="pct"/>
            <w:tcBorders>
              <w:top w:val="nil"/>
              <w:bottom w:val="nil"/>
            </w:tcBorders>
          </w:tcPr>
          <w:p w:rsidR="001336C5" w:rsidRPr="00A423EE" w:rsidRDefault="001336C5" w:rsidP="007D47BB">
            <w:pPr>
              <w:jc w:val="right"/>
              <w:rPr>
                <w:sz w:val="20"/>
                <w:szCs w:val="20"/>
              </w:rPr>
            </w:pPr>
            <w:r w:rsidRPr="00A423EE">
              <w:rPr>
                <w:sz w:val="20"/>
                <w:szCs w:val="20"/>
              </w:rPr>
              <w:t>28</w:t>
            </w:r>
          </w:p>
        </w:tc>
        <w:tc>
          <w:tcPr>
            <w:tcW w:w="337" w:type="pct"/>
            <w:tcBorders>
              <w:top w:val="nil"/>
              <w:bottom w:val="nil"/>
            </w:tcBorders>
          </w:tcPr>
          <w:p w:rsidR="001336C5" w:rsidRPr="00A423EE" w:rsidRDefault="001336C5" w:rsidP="007D47BB">
            <w:pPr>
              <w:jc w:val="right"/>
              <w:rPr>
                <w:sz w:val="20"/>
                <w:szCs w:val="20"/>
              </w:rPr>
            </w:pPr>
            <w:r w:rsidRPr="00A423EE">
              <w:rPr>
                <w:sz w:val="20"/>
                <w:szCs w:val="20"/>
              </w:rPr>
              <w:t>(45)</w:t>
            </w:r>
          </w:p>
        </w:tc>
      </w:tr>
      <w:tr w:rsidR="001336C5" w:rsidRPr="00A423EE" w:rsidTr="007D47BB">
        <w:trPr>
          <w:trHeight w:val="488"/>
        </w:trPr>
        <w:tc>
          <w:tcPr>
            <w:tcW w:w="4326" w:type="pct"/>
            <w:tcBorders>
              <w:top w:val="nil"/>
              <w:bottom w:val="nil"/>
            </w:tcBorders>
          </w:tcPr>
          <w:p w:rsidR="001336C5" w:rsidRPr="00A423EE" w:rsidRDefault="001336C5" w:rsidP="007D47BB">
            <w:pPr>
              <w:rPr>
                <w:bCs/>
                <w:sz w:val="20"/>
                <w:szCs w:val="20"/>
              </w:rPr>
            </w:pPr>
            <w:r w:rsidRPr="00A423EE">
              <w:rPr>
                <w:sz w:val="20"/>
                <w:szCs w:val="20"/>
              </w:rPr>
              <w:t>Demanding take home when inappropriate</w:t>
            </w:r>
          </w:p>
        </w:tc>
        <w:tc>
          <w:tcPr>
            <w:tcW w:w="337" w:type="pct"/>
            <w:tcBorders>
              <w:top w:val="nil"/>
              <w:bottom w:val="nil"/>
            </w:tcBorders>
          </w:tcPr>
          <w:p w:rsidR="001336C5" w:rsidRPr="00A423EE" w:rsidRDefault="001336C5" w:rsidP="007D47BB">
            <w:pPr>
              <w:jc w:val="right"/>
              <w:rPr>
                <w:sz w:val="20"/>
                <w:szCs w:val="20"/>
              </w:rPr>
            </w:pPr>
            <w:r w:rsidRPr="00A423EE">
              <w:rPr>
                <w:sz w:val="20"/>
                <w:szCs w:val="20"/>
              </w:rPr>
              <w:t>27</w:t>
            </w:r>
          </w:p>
        </w:tc>
        <w:tc>
          <w:tcPr>
            <w:tcW w:w="337" w:type="pct"/>
            <w:tcBorders>
              <w:top w:val="nil"/>
              <w:bottom w:val="nil"/>
            </w:tcBorders>
          </w:tcPr>
          <w:p w:rsidR="001336C5" w:rsidRPr="00A423EE" w:rsidRDefault="001336C5" w:rsidP="007D47BB">
            <w:pPr>
              <w:jc w:val="right"/>
              <w:rPr>
                <w:sz w:val="20"/>
                <w:szCs w:val="20"/>
              </w:rPr>
            </w:pPr>
            <w:r w:rsidRPr="00A423EE">
              <w:rPr>
                <w:sz w:val="20"/>
                <w:szCs w:val="20"/>
              </w:rPr>
              <w:t>(44)</w:t>
            </w:r>
          </w:p>
        </w:tc>
      </w:tr>
      <w:tr w:rsidR="001336C5" w:rsidRPr="00A423EE" w:rsidTr="007D47BB">
        <w:trPr>
          <w:trHeight w:val="488"/>
        </w:trPr>
        <w:tc>
          <w:tcPr>
            <w:tcW w:w="4326" w:type="pct"/>
            <w:tcBorders>
              <w:top w:val="nil"/>
              <w:bottom w:val="nil"/>
            </w:tcBorders>
          </w:tcPr>
          <w:p w:rsidR="001336C5" w:rsidRPr="00A423EE" w:rsidRDefault="001336C5" w:rsidP="007D47BB">
            <w:pPr>
              <w:rPr>
                <w:bCs/>
                <w:sz w:val="20"/>
                <w:szCs w:val="20"/>
              </w:rPr>
            </w:pPr>
            <w:r w:rsidRPr="00A423EE">
              <w:rPr>
                <w:sz w:val="20"/>
                <w:szCs w:val="20"/>
              </w:rPr>
              <w:t>Dispensing arrangements too restrictive</w:t>
            </w:r>
          </w:p>
        </w:tc>
        <w:tc>
          <w:tcPr>
            <w:tcW w:w="337" w:type="pct"/>
            <w:tcBorders>
              <w:top w:val="nil"/>
              <w:bottom w:val="nil"/>
            </w:tcBorders>
          </w:tcPr>
          <w:p w:rsidR="001336C5" w:rsidRPr="00A423EE" w:rsidRDefault="001336C5" w:rsidP="007D47BB">
            <w:pPr>
              <w:jc w:val="right"/>
              <w:rPr>
                <w:sz w:val="20"/>
                <w:szCs w:val="20"/>
              </w:rPr>
            </w:pPr>
            <w:r w:rsidRPr="00A423EE">
              <w:rPr>
                <w:sz w:val="20"/>
                <w:szCs w:val="20"/>
              </w:rPr>
              <w:t>24</w:t>
            </w:r>
          </w:p>
        </w:tc>
        <w:tc>
          <w:tcPr>
            <w:tcW w:w="337" w:type="pct"/>
            <w:tcBorders>
              <w:top w:val="nil"/>
              <w:bottom w:val="nil"/>
            </w:tcBorders>
          </w:tcPr>
          <w:p w:rsidR="001336C5" w:rsidRPr="00A423EE" w:rsidRDefault="001336C5" w:rsidP="007D47BB">
            <w:pPr>
              <w:jc w:val="right"/>
              <w:rPr>
                <w:sz w:val="20"/>
                <w:szCs w:val="20"/>
              </w:rPr>
            </w:pPr>
            <w:r w:rsidRPr="00A423EE">
              <w:rPr>
                <w:sz w:val="20"/>
                <w:szCs w:val="20"/>
              </w:rPr>
              <w:t>(39)</w:t>
            </w:r>
          </w:p>
        </w:tc>
      </w:tr>
      <w:tr w:rsidR="001336C5" w:rsidRPr="00A423EE" w:rsidTr="007D47BB">
        <w:trPr>
          <w:trHeight w:val="488"/>
        </w:trPr>
        <w:tc>
          <w:tcPr>
            <w:tcW w:w="4326" w:type="pct"/>
            <w:tcBorders>
              <w:top w:val="nil"/>
              <w:bottom w:val="single" w:sz="4" w:space="0" w:color="auto"/>
            </w:tcBorders>
          </w:tcPr>
          <w:p w:rsidR="001336C5" w:rsidRPr="00A423EE" w:rsidRDefault="001336C5" w:rsidP="007D47BB">
            <w:pPr>
              <w:rPr>
                <w:sz w:val="20"/>
                <w:szCs w:val="20"/>
              </w:rPr>
            </w:pPr>
            <w:r w:rsidRPr="00A423EE">
              <w:rPr>
                <w:sz w:val="20"/>
                <w:szCs w:val="20"/>
              </w:rPr>
              <w:t>Other</w:t>
            </w:r>
          </w:p>
        </w:tc>
        <w:tc>
          <w:tcPr>
            <w:tcW w:w="337" w:type="pct"/>
            <w:tcBorders>
              <w:top w:val="nil"/>
              <w:bottom w:val="single" w:sz="4" w:space="0" w:color="auto"/>
            </w:tcBorders>
          </w:tcPr>
          <w:p w:rsidR="001336C5" w:rsidRPr="00A423EE" w:rsidRDefault="001336C5" w:rsidP="007D47BB">
            <w:pPr>
              <w:jc w:val="right"/>
              <w:rPr>
                <w:sz w:val="20"/>
                <w:szCs w:val="20"/>
              </w:rPr>
            </w:pPr>
            <w:r w:rsidRPr="00A423EE">
              <w:rPr>
                <w:sz w:val="20"/>
                <w:szCs w:val="20"/>
              </w:rPr>
              <w:t>12</w:t>
            </w:r>
          </w:p>
        </w:tc>
        <w:tc>
          <w:tcPr>
            <w:tcW w:w="337" w:type="pct"/>
            <w:tcBorders>
              <w:top w:val="nil"/>
              <w:bottom w:val="single" w:sz="4" w:space="0" w:color="auto"/>
            </w:tcBorders>
          </w:tcPr>
          <w:p w:rsidR="001336C5" w:rsidRPr="00A423EE" w:rsidRDefault="001336C5" w:rsidP="007D47BB">
            <w:pPr>
              <w:jc w:val="right"/>
              <w:rPr>
                <w:sz w:val="20"/>
                <w:szCs w:val="20"/>
              </w:rPr>
            </w:pPr>
            <w:r w:rsidRPr="00A423EE">
              <w:rPr>
                <w:sz w:val="20"/>
                <w:szCs w:val="20"/>
              </w:rPr>
              <w:t>(19)</w:t>
            </w:r>
          </w:p>
        </w:tc>
      </w:tr>
    </w:tbl>
    <w:p w:rsidR="001336C5" w:rsidRPr="00C075E9" w:rsidRDefault="001336C5" w:rsidP="001336C5">
      <w:pPr>
        <w:pStyle w:val="Normaltext"/>
      </w:pPr>
    </w:p>
    <w:p w:rsidR="001336C5" w:rsidRDefault="001336C5">
      <w:pPr>
        <w:spacing w:line="240" w:lineRule="auto"/>
        <w:jc w:val="left"/>
      </w:pPr>
      <w:r>
        <w:br w:type="page"/>
      </w:r>
    </w:p>
    <w:p w:rsidR="001336C5" w:rsidRPr="00C075E9" w:rsidRDefault="001336C5" w:rsidP="001336C5">
      <w:pPr>
        <w:jc w:val="left"/>
      </w:pPr>
      <w:proofErr w:type="gramStart"/>
      <w:r w:rsidRPr="00C075E9">
        <w:lastRenderedPageBreak/>
        <w:t>Table 3</w:t>
      </w:r>
      <w:r>
        <w:t>.</w:t>
      </w:r>
      <w:proofErr w:type="gramEnd"/>
      <w:r w:rsidRPr="00C075E9">
        <w:t xml:space="preserve"> Factors influencing clinicians’ decision to begin contingency management </w:t>
      </w:r>
      <w:r>
        <w:t xml:space="preserve">(of clinicians practising contingency management) </w:t>
      </w:r>
      <w:r w:rsidRPr="00C075E9">
        <w:t>(n=107)</w:t>
      </w:r>
    </w:p>
    <w:p w:rsidR="001336C5" w:rsidRPr="00C075E9" w:rsidRDefault="001336C5" w:rsidP="001336C5">
      <w:pPr>
        <w:pStyle w:val="Normaltext"/>
      </w:pPr>
    </w:p>
    <w:tbl>
      <w:tblPr>
        <w:tblW w:w="4995" w:type="pct"/>
        <w:tblBorders>
          <w:top w:val="single" w:sz="12" w:space="0" w:color="000000"/>
          <w:bottom w:val="single" w:sz="12" w:space="0" w:color="000000"/>
        </w:tblBorders>
        <w:tblLook w:val="0000" w:firstRow="0" w:lastRow="0" w:firstColumn="0" w:lastColumn="0" w:noHBand="0" w:noVBand="0"/>
      </w:tblPr>
      <w:tblGrid>
        <w:gridCol w:w="7994"/>
        <w:gridCol w:w="622"/>
        <w:gridCol w:w="617"/>
      </w:tblGrid>
      <w:tr w:rsidR="001336C5" w:rsidRPr="00A423EE" w:rsidTr="007D47BB">
        <w:trPr>
          <w:trHeight w:val="488"/>
        </w:trPr>
        <w:tc>
          <w:tcPr>
            <w:tcW w:w="4329" w:type="pct"/>
            <w:tcBorders>
              <w:top w:val="single" w:sz="12" w:space="0" w:color="auto"/>
              <w:bottom w:val="single" w:sz="12" w:space="0" w:color="auto"/>
            </w:tcBorders>
          </w:tcPr>
          <w:p w:rsidR="001336C5" w:rsidRPr="00A423EE" w:rsidRDefault="001336C5" w:rsidP="007D47BB">
            <w:pPr>
              <w:rPr>
                <w:sz w:val="20"/>
                <w:szCs w:val="20"/>
              </w:rPr>
            </w:pPr>
          </w:p>
        </w:tc>
        <w:tc>
          <w:tcPr>
            <w:tcW w:w="337" w:type="pct"/>
            <w:tcBorders>
              <w:top w:val="single" w:sz="12" w:space="0" w:color="auto"/>
              <w:bottom w:val="single" w:sz="12" w:space="0" w:color="auto"/>
            </w:tcBorders>
          </w:tcPr>
          <w:p w:rsidR="001336C5" w:rsidRPr="00A423EE" w:rsidRDefault="001336C5" w:rsidP="007D47BB">
            <w:pPr>
              <w:jc w:val="right"/>
              <w:rPr>
                <w:sz w:val="20"/>
                <w:szCs w:val="20"/>
              </w:rPr>
            </w:pPr>
            <w:r w:rsidRPr="00A423EE">
              <w:rPr>
                <w:sz w:val="20"/>
                <w:szCs w:val="20"/>
              </w:rPr>
              <w:t xml:space="preserve">N </w:t>
            </w:r>
          </w:p>
        </w:tc>
        <w:tc>
          <w:tcPr>
            <w:tcW w:w="334" w:type="pct"/>
            <w:tcBorders>
              <w:top w:val="single" w:sz="12" w:space="0" w:color="auto"/>
              <w:bottom w:val="single" w:sz="12" w:space="0" w:color="auto"/>
            </w:tcBorders>
          </w:tcPr>
          <w:p w:rsidR="001336C5" w:rsidRPr="00A423EE" w:rsidRDefault="001336C5" w:rsidP="007D47BB">
            <w:pPr>
              <w:jc w:val="right"/>
              <w:rPr>
                <w:sz w:val="20"/>
                <w:szCs w:val="20"/>
              </w:rPr>
            </w:pPr>
            <w:r>
              <w:rPr>
                <w:sz w:val="20"/>
                <w:szCs w:val="20"/>
              </w:rPr>
              <w:t>%</w:t>
            </w:r>
          </w:p>
        </w:tc>
      </w:tr>
      <w:tr w:rsidR="001336C5" w:rsidRPr="00A423EE" w:rsidTr="007D47BB">
        <w:tblPrEx>
          <w:tblBorders>
            <w:top w:val="none" w:sz="0" w:space="0" w:color="auto"/>
            <w:bottom w:val="none" w:sz="0" w:space="0" w:color="auto"/>
          </w:tblBorders>
        </w:tblPrEx>
        <w:trPr>
          <w:trHeight w:val="488"/>
        </w:trPr>
        <w:tc>
          <w:tcPr>
            <w:tcW w:w="4329" w:type="pct"/>
            <w:tcBorders>
              <w:bottom w:val="nil"/>
            </w:tcBorders>
          </w:tcPr>
          <w:p w:rsidR="001336C5" w:rsidRPr="00A423EE" w:rsidRDefault="001336C5" w:rsidP="007D47BB">
            <w:pPr>
              <w:rPr>
                <w:sz w:val="20"/>
                <w:szCs w:val="20"/>
              </w:rPr>
            </w:pPr>
            <w:r w:rsidRPr="00A423EE">
              <w:rPr>
                <w:sz w:val="20"/>
                <w:szCs w:val="20"/>
              </w:rPr>
              <w:t>No use of illicit opiates</w:t>
            </w:r>
          </w:p>
        </w:tc>
        <w:tc>
          <w:tcPr>
            <w:tcW w:w="337" w:type="pct"/>
            <w:tcBorders>
              <w:bottom w:val="nil"/>
            </w:tcBorders>
          </w:tcPr>
          <w:p w:rsidR="001336C5" w:rsidRPr="00A423EE" w:rsidRDefault="001336C5" w:rsidP="007D47BB">
            <w:pPr>
              <w:jc w:val="right"/>
              <w:rPr>
                <w:sz w:val="20"/>
                <w:szCs w:val="20"/>
              </w:rPr>
            </w:pPr>
            <w:r w:rsidRPr="00A423EE">
              <w:rPr>
                <w:sz w:val="20"/>
                <w:szCs w:val="20"/>
              </w:rPr>
              <w:t>81</w:t>
            </w:r>
          </w:p>
        </w:tc>
        <w:tc>
          <w:tcPr>
            <w:tcW w:w="334" w:type="pct"/>
            <w:tcBorders>
              <w:bottom w:val="nil"/>
            </w:tcBorders>
          </w:tcPr>
          <w:p w:rsidR="001336C5" w:rsidRPr="00A423EE" w:rsidRDefault="001336C5" w:rsidP="007D47BB">
            <w:pPr>
              <w:jc w:val="right"/>
              <w:rPr>
                <w:sz w:val="20"/>
                <w:szCs w:val="20"/>
              </w:rPr>
            </w:pPr>
            <w:r w:rsidRPr="00A423EE">
              <w:rPr>
                <w:sz w:val="20"/>
                <w:szCs w:val="20"/>
              </w:rPr>
              <w:t>(76)</w:t>
            </w:r>
          </w:p>
        </w:tc>
      </w:tr>
      <w:tr w:rsidR="001336C5" w:rsidRPr="00A423EE" w:rsidTr="007D47BB">
        <w:tblPrEx>
          <w:tblBorders>
            <w:top w:val="none" w:sz="0" w:space="0" w:color="auto"/>
            <w:bottom w:val="none" w:sz="0" w:space="0" w:color="auto"/>
          </w:tblBorders>
        </w:tblPrEx>
        <w:trPr>
          <w:trHeight w:val="488"/>
        </w:trPr>
        <w:tc>
          <w:tcPr>
            <w:tcW w:w="4329" w:type="pct"/>
            <w:tcBorders>
              <w:top w:val="nil"/>
              <w:bottom w:val="nil"/>
            </w:tcBorders>
          </w:tcPr>
          <w:p w:rsidR="001336C5" w:rsidRPr="00A423EE" w:rsidRDefault="001336C5" w:rsidP="007D47BB">
            <w:pPr>
              <w:rPr>
                <w:sz w:val="20"/>
                <w:szCs w:val="20"/>
              </w:rPr>
            </w:pPr>
            <w:r w:rsidRPr="00A423EE">
              <w:rPr>
                <w:sz w:val="20"/>
                <w:szCs w:val="20"/>
              </w:rPr>
              <w:t>No use of any illicit drugs</w:t>
            </w:r>
          </w:p>
        </w:tc>
        <w:tc>
          <w:tcPr>
            <w:tcW w:w="337" w:type="pct"/>
            <w:tcBorders>
              <w:top w:val="nil"/>
              <w:bottom w:val="nil"/>
            </w:tcBorders>
          </w:tcPr>
          <w:p w:rsidR="001336C5" w:rsidRPr="00A423EE" w:rsidRDefault="001336C5" w:rsidP="007D47BB">
            <w:pPr>
              <w:jc w:val="right"/>
              <w:rPr>
                <w:sz w:val="20"/>
                <w:szCs w:val="20"/>
              </w:rPr>
            </w:pPr>
            <w:r w:rsidRPr="00A423EE">
              <w:rPr>
                <w:sz w:val="20"/>
                <w:szCs w:val="20"/>
              </w:rPr>
              <w:t>76</w:t>
            </w:r>
          </w:p>
        </w:tc>
        <w:tc>
          <w:tcPr>
            <w:tcW w:w="334" w:type="pct"/>
            <w:tcBorders>
              <w:top w:val="nil"/>
              <w:bottom w:val="nil"/>
            </w:tcBorders>
          </w:tcPr>
          <w:p w:rsidR="001336C5" w:rsidRPr="00A423EE" w:rsidRDefault="001336C5" w:rsidP="007D47BB">
            <w:pPr>
              <w:jc w:val="right"/>
              <w:rPr>
                <w:sz w:val="20"/>
                <w:szCs w:val="20"/>
              </w:rPr>
            </w:pPr>
            <w:r w:rsidRPr="00A423EE">
              <w:rPr>
                <w:sz w:val="20"/>
                <w:szCs w:val="20"/>
              </w:rPr>
              <w:t>(71)</w:t>
            </w:r>
          </w:p>
        </w:tc>
      </w:tr>
      <w:tr w:rsidR="001336C5" w:rsidRPr="00A423EE" w:rsidTr="007D47BB">
        <w:tblPrEx>
          <w:tblBorders>
            <w:top w:val="none" w:sz="0" w:space="0" w:color="auto"/>
            <w:bottom w:val="none" w:sz="0" w:space="0" w:color="auto"/>
          </w:tblBorders>
        </w:tblPrEx>
        <w:trPr>
          <w:trHeight w:val="488"/>
        </w:trPr>
        <w:tc>
          <w:tcPr>
            <w:tcW w:w="4329" w:type="pct"/>
            <w:tcBorders>
              <w:top w:val="nil"/>
              <w:bottom w:val="nil"/>
            </w:tcBorders>
          </w:tcPr>
          <w:p w:rsidR="001336C5" w:rsidRPr="00A423EE" w:rsidRDefault="001336C5" w:rsidP="007D47BB">
            <w:pPr>
              <w:rPr>
                <w:sz w:val="20"/>
                <w:szCs w:val="20"/>
              </w:rPr>
            </w:pPr>
            <w:r w:rsidRPr="00A423EE">
              <w:rPr>
                <w:sz w:val="20"/>
                <w:szCs w:val="20"/>
              </w:rPr>
              <w:t>Physical health stability</w:t>
            </w:r>
          </w:p>
        </w:tc>
        <w:tc>
          <w:tcPr>
            <w:tcW w:w="337" w:type="pct"/>
            <w:tcBorders>
              <w:top w:val="nil"/>
              <w:bottom w:val="nil"/>
            </w:tcBorders>
          </w:tcPr>
          <w:p w:rsidR="001336C5" w:rsidRPr="00A423EE" w:rsidRDefault="001336C5" w:rsidP="007D47BB">
            <w:pPr>
              <w:jc w:val="right"/>
              <w:rPr>
                <w:sz w:val="20"/>
                <w:szCs w:val="20"/>
              </w:rPr>
            </w:pPr>
            <w:r w:rsidRPr="00A423EE">
              <w:rPr>
                <w:sz w:val="20"/>
                <w:szCs w:val="20"/>
              </w:rPr>
              <w:t>50</w:t>
            </w:r>
          </w:p>
        </w:tc>
        <w:tc>
          <w:tcPr>
            <w:tcW w:w="334" w:type="pct"/>
            <w:tcBorders>
              <w:top w:val="nil"/>
              <w:bottom w:val="nil"/>
            </w:tcBorders>
          </w:tcPr>
          <w:p w:rsidR="001336C5" w:rsidRPr="00A423EE" w:rsidRDefault="001336C5" w:rsidP="007D47BB">
            <w:pPr>
              <w:jc w:val="right"/>
              <w:rPr>
                <w:sz w:val="20"/>
                <w:szCs w:val="20"/>
              </w:rPr>
            </w:pPr>
            <w:r w:rsidRPr="00A423EE">
              <w:rPr>
                <w:sz w:val="20"/>
                <w:szCs w:val="20"/>
              </w:rPr>
              <w:t>(47)</w:t>
            </w:r>
          </w:p>
        </w:tc>
      </w:tr>
      <w:tr w:rsidR="001336C5" w:rsidRPr="00A423EE" w:rsidTr="007D47BB">
        <w:tblPrEx>
          <w:tblBorders>
            <w:top w:val="none" w:sz="0" w:space="0" w:color="auto"/>
            <w:bottom w:val="none" w:sz="0" w:space="0" w:color="auto"/>
          </w:tblBorders>
        </w:tblPrEx>
        <w:trPr>
          <w:trHeight w:val="488"/>
        </w:trPr>
        <w:tc>
          <w:tcPr>
            <w:tcW w:w="4329" w:type="pct"/>
            <w:tcBorders>
              <w:top w:val="nil"/>
              <w:bottom w:val="nil"/>
            </w:tcBorders>
          </w:tcPr>
          <w:p w:rsidR="001336C5" w:rsidRPr="00A423EE" w:rsidRDefault="001336C5" w:rsidP="007D47BB">
            <w:pPr>
              <w:rPr>
                <w:sz w:val="20"/>
                <w:szCs w:val="20"/>
              </w:rPr>
            </w:pPr>
            <w:r w:rsidRPr="00A423EE">
              <w:rPr>
                <w:sz w:val="20"/>
                <w:szCs w:val="20"/>
              </w:rPr>
              <w:t>Mental health stability</w:t>
            </w:r>
          </w:p>
        </w:tc>
        <w:tc>
          <w:tcPr>
            <w:tcW w:w="337" w:type="pct"/>
            <w:tcBorders>
              <w:top w:val="nil"/>
              <w:bottom w:val="nil"/>
            </w:tcBorders>
          </w:tcPr>
          <w:p w:rsidR="001336C5" w:rsidRPr="00A423EE" w:rsidRDefault="001336C5" w:rsidP="007D47BB">
            <w:pPr>
              <w:jc w:val="right"/>
              <w:rPr>
                <w:sz w:val="20"/>
                <w:szCs w:val="20"/>
              </w:rPr>
            </w:pPr>
            <w:r w:rsidRPr="00A423EE">
              <w:rPr>
                <w:sz w:val="20"/>
                <w:szCs w:val="20"/>
              </w:rPr>
              <w:t>52</w:t>
            </w:r>
          </w:p>
        </w:tc>
        <w:tc>
          <w:tcPr>
            <w:tcW w:w="334" w:type="pct"/>
            <w:tcBorders>
              <w:top w:val="nil"/>
              <w:bottom w:val="nil"/>
            </w:tcBorders>
          </w:tcPr>
          <w:p w:rsidR="001336C5" w:rsidRPr="00A423EE" w:rsidRDefault="001336C5" w:rsidP="007D47BB">
            <w:pPr>
              <w:jc w:val="right"/>
              <w:rPr>
                <w:sz w:val="20"/>
                <w:szCs w:val="20"/>
              </w:rPr>
            </w:pPr>
            <w:r w:rsidRPr="00A423EE">
              <w:rPr>
                <w:sz w:val="20"/>
                <w:szCs w:val="20"/>
              </w:rPr>
              <w:t>(49)</w:t>
            </w:r>
          </w:p>
        </w:tc>
      </w:tr>
      <w:tr w:rsidR="001336C5" w:rsidRPr="00A423EE" w:rsidTr="007D47BB">
        <w:tblPrEx>
          <w:tblBorders>
            <w:top w:val="none" w:sz="0" w:space="0" w:color="auto"/>
            <w:bottom w:val="none" w:sz="0" w:space="0" w:color="auto"/>
          </w:tblBorders>
        </w:tblPrEx>
        <w:trPr>
          <w:trHeight w:val="488"/>
        </w:trPr>
        <w:tc>
          <w:tcPr>
            <w:tcW w:w="4329" w:type="pct"/>
            <w:tcBorders>
              <w:top w:val="nil"/>
              <w:bottom w:val="nil"/>
            </w:tcBorders>
          </w:tcPr>
          <w:p w:rsidR="001336C5" w:rsidRPr="00A423EE" w:rsidRDefault="001336C5" w:rsidP="007D47BB">
            <w:pPr>
              <w:rPr>
                <w:sz w:val="20"/>
                <w:szCs w:val="20"/>
              </w:rPr>
            </w:pPr>
            <w:r w:rsidRPr="00A423EE">
              <w:rPr>
                <w:sz w:val="20"/>
                <w:szCs w:val="20"/>
              </w:rPr>
              <w:t>Employment/education commitments</w:t>
            </w:r>
          </w:p>
        </w:tc>
        <w:tc>
          <w:tcPr>
            <w:tcW w:w="337" w:type="pct"/>
            <w:tcBorders>
              <w:top w:val="nil"/>
              <w:bottom w:val="nil"/>
            </w:tcBorders>
          </w:tcPr>
          <w:p w:rsidR="001336C5" w:rsidRPr="00A423EE" w:rsidRDefault="001336C5" w:rsidP="007D47BB">
            <w:pPr>
              <w:jc w:val="right"/>
              <w:rPr>
                <w:sz w:val="20"/>
                <w:szCs w:val="20"/>
              </w:rPr>
            </w:pPr>
            <w:r w:rsidRPr="00A423EE">
              <w:rPr>
                <w:sz w:val="20"/>
                <w:szCs w:val="20"/>
              </w:rPr>
              <w:t>65</w:t>
            </w:r>
          </w:p>
        </w:tc>
        <w:tc>
          <w:tcPr>
            <w:tcW w:w="334" w:type="pct"/>
            <w:tcBorders>
              <w:top w:val="nil"/>
              <w:bottom w:val="nil"/>
            </w:tcBorders>
          </w:tcPr>
          <w:p w:rsidR="001336C5" w:rsidRPr="00A423EE" w:rsidRDefault="001336C5" w:rsidP="007D47BB">
            <w:pPr>
              <w:jc w:val="right"/>
              <w:rPr>
                <w:sz w:val="20"/>
                <w:szCs w:val="20"/>
              </w:rPr>
            </w:pPr>
            <w:r w:rsidRPr="00A423EE">
              <w:rPr>
                <w:sz w:val="20"/>
                <w:szCs w:val="20"/>
              </w:rPr>
              <w:t>(61)</w:t>
            </w:r>
          </w:p>
        </w:tc>
      </w:tr>
      <w:tr w:rsidR="001336C5" w:rsidRPr="00A423EE" w:rsidTr="007D47BB">
        <w:tblPrEx>
          <w:tblBorders>
            <w:top w:val="none" w:sz="0" w:space="0" w:color="auto"/>
            <w:bottom w:val="none" w:sz="0" w:space="0" w:color="auto"/>
          </w:tblBorders>
        </w:tblPrEx>
        <w:trPr>
          <w:trHeight w:val="488"/>
        </w:trPr>
        <w:tc>
          <w:tcPr>
            <w:tcW w:w="4329" w:type="pct"/>
            <w:tcBorders>
              <w:top w:val="nil"/>
              <w:bottom w:val="nil"/>
            </w:tcBorders>
          </w:tcPr>
          <w:p w:rsidR="001336C5" w:rsidRPr="00A423EE" w:rsidRDefault="001336C5" w:rsidP="007D47BB">
            <w:pPr>
              <w:rPr>
                <w:sz w:val="20"/>
                <w:szCs w:val="20"/>
              </w:rPr>
            </w:pPr>
            <w:r w:rsidRPr="00A423EE">
              <w:rPr>
                <w:sz w:val="20"/>
                <w:szCs w:val="20"/>
              </w:rPr>
              <w:t>Social/family support</w:t>
            </w:r>
          </w:p>
        </w:tc>
        <w:tc>
          <w:tcPr>
            <w:tcW w:w="337" w:type="pct"/>
            <w:tcBorders>
              <w:top w:val="nil"/>
              <w:bottom w:val="nil"/>
            </w:tcBorders>
          </w:tcPr>
          <w:p w:rsidR="001336C5" w:rsidRPr="00A423EE" w:rsidRDefault="001336C5" w:rsidP="007D47BB">
            <w:pPr>
              <w:jc w:val="right"/>
              <w:rPr>
                <w:sz w:val="20"/>
                <w:szCs w:val="20"/>
              </w:rPr>
            </w:pPr>
            <w:r w:rsidRPr="00A423EE">
              <w:rPr>
                <w:sz w:val="20"/>
                <w:szCs w:val="20"/>
              </w:rPr>
              <w:t>40</w:t>
            </w:r>
          </w:p>
        </w:tc>
        <w:tc>
          <w:tcPr>
            <w:tcW w:w="334" w:type="pct"/>
            <w:tcBorders>
              <w:top w:val="nil"/>
              <w:bottom w:val="nil"/>
            </w:tcBorders>
          </w:tcPr>
          <w:p w:rsidR="001336C5" w:rsidRPr="00A423EE" w:rsidRDefault="001336C5" w:rsidP="007D47BB">
            <w:pPr>
              <w:jc w:val="right"/>
              <w:rPr>
                <w:sz w:val="20"/>
                <w:szCs w:val="20"/>
              </w:rPr>
            </w:pPr>
            <w:r w:rsidRPr="00A423EE">
              <w:rPr>
                <w:sz w:val="20"/>
                <w:szCs w:val="20"/>
              </w:rPr>
              <w:t>(38)</w:t>
            </w:r>
          </w:p>
        </w:tc>
      </w:tr>
      <w:tr w:rsidR="001336C5" w:rsidRPr="00A423EE" w:rsidTr="007D47BB">
        <w:tblPrEx>
          <w:tblBorders>
            <w:top w:val="none" w:sz="0" w:space="0" w:color="auto"/>
            <w:bottom w:val="none" w:sz="0" w:space="0" w:color="auto"/>
          </w:tblBorders>
        </w:tblPrEx>
        <w:trPr>
          <w:trHeight w:val="488"/>
        </w:trPr>
        <w:tc>
          <w:tcPr>
            <w:tcW w:w="4329" w:type="pct"/>
            <w:tcBorders>
              <w:top w:val="nil"/>
            </w:tcBorders>
          </w:tcPr>
          <w:p w:rsidR="001336C5" w:rsidRPr="00A423EE" w:rsidRDefault="001336C5" w:rsidP="007D47BB">
            <w:pPr>
              <w:rPr>
                <w:sz w:val="20"/>
                <w:szCs w:val="20"/>
              </w:rPr>
            </w:pPr>
            <w:r w:rsidRPr="00A423EE">
              <w:rPr>
                <w:sz w:val="20"/>
                <w:szCs w:val="20"/>
              </w:rPr>
              <w:t>Good treatment engagement and progress</w:t>
            </w:r>
          </w:p>
        </w:tc>
        <w:tc>
          <w:tcPr>
            <w:tcW w:w="337" w:type="pct"/>
            <w:tcBorders>
              <w:top w:val="nil"/>
            </w:tcBorders>
          </w:tcPr>
          <w:p w:rsidR="001336C5" w:rsidRPr="00A423EE" w:rsidRDefault="001336C5" w:rsidP="007D47BB">
            <w:pPr>
              <w:jc w:val="right"/>
              <w:rPr>
                <w:sz w:val="20"/>
                <w:szCs w:val="20"/>
              </w:rPr>
            </w:pPr>
            <w:r w:rsidRPr="00A423EE">
              <w:rPr>
                <w:sz w:val="20"/>
                <w:szCs w:val="20"/>
              </w:rPr>
              <w:t>84</w:t>
            </w:r>
          </w:p>
        </w:tc>
        <w:tc>
          <w:tcPr>
            <w:tcW w:w="334" w:type="pct"/>
            <w:tcBorders>
              <w:top w:val="nil"/>
            </w:tcBorders>
          </w:tcPr>
          <w:p w:rsidR="001336C5" w:rsidRPr="00A423EE" w:rsidRDefault="001336C5" w:rsidP="007D47BB">
            <w:pPr>
              <w:jc w:val="right"/>
              <w:rPr>
                <w:sz w:val="20"/>
                <w:szCs w:val="20"/>
              </w:rPr>
            </w:pPr>
            <w:r w:rsidRPr="00A423EE">
              <w:rPr>
                <w:sz w:val="20"/>
                <w:szCs w:val="20"/>
              </w:rPr>
              <w:t>(79)</w:t>
            </w:r>
          </w:p>
        </w:tc>
      </w:tr>
      <w:tr w:rsidR="001336C5" w:rsidRPr="00A423EE" w:rsidTr="007D47BB">
        <w:tblPrEx>
          <w:tblBorders>
            <w:top w:val="none" w:sz="0" w:space="0" w:color="auto"/>
            <w:bottom w:val="none" w:sz="0" w:space="0" w:color="auto"/>
          </w:tblBorders>
        </w:tblPrEx>
        <w:trPr>
          <w:trHeight w:val="488"/>
        </w:trPr>
        <w:tc>
          <w:tcPr>
            <w:tcW w:w="4329" w:type="pct"/>
            <w:tcBorders>
              <w:top w:val="nil"/>
              <w:bottom w:val="single" w:sz="4" w:space="0" w:color="auto"/>
            </w:tcBorders>
          </w:tcPr>
          <w:p w:rsidR="001336C5" w:rsidRPr="00A423EE" w:rsidRDefault="001336C5" w:rsidP="007D47BB">
            <w:pPr>
              <w:rPr>
                <w:sz w:val="20"/>
                <w:szCs w:val="20"/>
              </w:rPr>
            </w:pPr>
            <w:r w:rsidRPr="00A423EE">
              <w:rPr>
                <w:sz w:val="20"/>
                <w:szCs w:val="20"/>
              </w:rPr>
              <w:t>Other</w:t>
            </w:r>
          </w:p>
        </w:tc>
        <w:tc>
          <w:tcPr>
            <w:tcW w:w="337" w:type="pct"/>
            <w:tcBorders>
              <w:top w:val="nil"/>
              <w:bottom w:val="single" w:sz="4" w:space="0" w:color="auto"/>
            </w:tcBorders>
          </w:tcPr>
          <w:p w:rsidR="001336C5" w:rsidRPr="00A423EE" w:rsidRDefault="001336C5" w:rsidP="007D47BB">
            <w:pPr>
              <w:jc w:val="right"/>
              <w:rPr>
                <w:sz w:val="20"/>
                <w:szCs w:val="20"/>
              </w:rPr>
            </w:pPr>
            <w:r w:rsidRPr="00A423EE">
              <w:rPr>
                <w:sz w:val="20"/>
                <w:szCs w:val="20"/>
              </w:rPr>
              <w:t>13</w:t>
            </w:r>
          </w:p>
        </w:tc>
        <w:tc>
          <w:tcPr>
            <w:tcW w:w="334" w:type="pct"/>
            <w:tcBorders>
              <w:top w:val="nil"/>
              <w:bottom w:val="single" w:sz="4" w:space="0" w:color="auto"/>
            </w:tcBorders>
          </w:tcPr>
          <w:p w:rsidR="001336C5" w:rsidRPr="00A423EE" w:rsidRDefault="001336C5" w:rsidP="007D47BB">
            <w:pPr>
              <w:jc w:val="right"/>
              <w:rPr>
                <w:sz w:val="20"/>
                <w:szCs w:val="20"/>
              </w:rPr>
            </w:pPr>
            <w:r w:rsidRPr="00A423EE">
              <w:rPr>
                <w:sz w:val="20"/>
                <w:szCs w:val="20"/>
              </w:rPr>
              <w:t>(12)</w:t>
            </w:r>
          </w:p>
        </w:tc>
      </w:tr>
    </w:tbl>
    <w:p w:rsidR="001336C5" w:rsidRDefault="001336C5" w:rsidP="00400D9E">
      <w:pPr>
        <w:pStyle w:val="NormalWeb"/>
        <w:jc w:val="left"/>
      </w:pPr>
      <w:bookmarkStart w:id="0" w:name="_GoBack"/>
      <w:bookmarkEnd w:id="0"/>
    </w:p>
    <w:p w:rsidR="001336C5" w:rsidRPr="00C075E9" w:rsidRDefault="001336C5" w:rsidP="00400D9E">
      <w:pPr>
        <w:pStyle w:val="NormalWeb"/>
        <w:jc w:val="left"/>
      </w:pPr>
    </w:p>
    <w:sectPr w:rsidR="001336C5" w:rsidRPr="00C075E9" w:rsidSect="004F4B3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B83" w:rsidRDefault="00921B83" w:rsidP="00284448">
      <w:r>
        <w:separator/>
      </w:r>
    </w:p>
  </w:endnote>
  <w:endnote w:type="continuationSeparator" w:id="0">
    <w:p w:rsidR="00921B83" w:rsidRDefault="00921B83" w:rsidP="0028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C0" w:rsidRDefault="005807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853165"/>
      <w:docPartObj>
        <w:docPartGallery w:val="Page Numbers (Bottom of Page)"/>
        <w:docPartUnique/>
      </w:docPartObj>
    </w:sdtPr>
    <w:sdtEndPr>
      <w:rPr>
        <w:noProof/>
      </w:rPr>
    </w:sdtEndPr>
    <w:sdtContent>
      <w:p w:rsidR="009575C6" w:rsidRPr="00BD60F0" w:rsidRDefault="005807C0" w:rsidP="005807C0">
        <w:pPr>
          <w:pStyle w:val="Footer"/>
          <w:jc w:val="center"/>
        </w:pPr>
        <w:r>
          <w:fldChar w:fldCharType="begin"/>
        </w:r>
        <w:r>
          <w:instrText xml:space="preserve"> PAGE   \* MERGEFORMAT </w:instrText>
        </w:r>
        <w:r>
          <w:fldChar w:fldCharType="separate"/>
        </w:r>
        <w:r w:rsidR="007D0A70">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C0" w:rsidRDefault="00580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B83" w:rsidRDefault="00921B83" w:rsidP="00284448">
      <w:r>
        <w:separator/>
      </w:r>
    </w:p>
  </w:footnote>
  <w:footnote w:type="continuationSeparator" w:id="0">
    <w:p w:rsidR="00921B83" w:rsidRDefault="00921B83" w:rsidP="00284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C0" w:rsidRDefault="00580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C0" w:rsidRDefault="005807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C0" w:rsidRDefault="00580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44EF6"/>
    <w:multiLevelType w:val="multilevel"/>
    <w:tmpl w:val="140A38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E4"/>
    <w:rsid w:val="000021C3"/>
    <w:rsid w:val="00010A87"/>
    <w:rsid w:val="000111D0"/>
    <w:rsid w:val="000112EA"/>
    <w:rsid w:val="00011A1F"/>
    <w:rsid w:val="0001614A"/>
    <w:rsid w:val="00030333"/>
    <w:rsid w:val="00040732"/>
    <w:rsid w:val="00057613"/>
    <w:rsid w:val="00060862"/>
    <w:rsid w:val="000664E1"/>
    <w:rsid w:val="00066A00"/>
    <w:rsid w:val="00074B40"/>
    <w:rsid w:val="000767EA"/>
    <w:rsid w:val="00076CBB"/>
    <w:rsid w:val="0008184A"/>
    <w:rsid w:val="0008354D"/>
    <w:rsid w:val="00084390"/>
    <w:rsid w:val="00084E23"/>
    <w:rsid w:val="00090BD2"/>
    <w:rsid w:val="000A0866"/>
    <w:rsid w:val="000A3417"/>
    <w:rsid w:val="000A74DB"/>
    <w:rsid w:val="000C206B"/>
    <w:rsid w:val="000C2ED7"/>
    <w:rsid w:val="000D04C7"/>
    <w:rsid w:val="000D6764"/>
    <w:rsid w:val="000E0EAE"/>
    <w:rsid w:val="000E0F1B"/>
    <w:rsid w:val="000E53C3"/>
    <w:rsid w:val="000F5072"/>
    <w:rsid w:val="000F6A5F"/>
    <w:rsid w:val="0010066C"/>
    <w:rsid w:val="00110FF8"/>
    <w:rsid w:val="00112E44"/>
    <w:rsid w:val="00122E56"/>
    <w:rsid w:val="00130545"/>
    <w:rsid w:val="001336C5"/>
    <w:rsid w:val="00136701"/>
    <w:rsid w:val="0014155B"/>
    <w:rsid w:val="00144787"/>
    <w:rsid w:val="00146A8E"/>
    <w:rsid w:val="00151205"/>
    <w:rsid w:val="0015249D"/>
    <w:rsid w:val="001563B5"/>
    <w:rsid w:val="00162C02"/>
    <w:rsid w:val="00175190"/>
    <w:rsid w:val="001818D1"/>
    <w:rsid w:val="00182A6A"/>
    <w:rsid w:val="00183DC1"/>
    <w:rsid w:val="0018421D"/>
    <w:rsid w:val="001917BC"/>
    <w:rsid w:val="00197544"/>
    <w:rsid w:val="001A46D4"/>
    <w:rsid w:val="001B199B"/>
    <w:rsid w:val="001B3716"/>
    <w:rsid w:val="001C4455"/>
    <w:rsid w:val="001D2938"/>
    <w:rsid w:val="001D4120"/>
    <w:rsid w:val="001D4FBC"/>
    <w:rsid w:val="001E02FB"/>
    <w:rsid w:val="001E44E1"/>
    <w:rsid w:val="001E5603"/>
    <w:rsid w:val="001F2C07"/>
    <w:rsid w:val="001F3D52"/>
    <w:rsid w:val="002005ED"/>
    <w:rsid w:val="00203CB1"/>
    <w:rsid w:val="00206A7E"/>
    <w:rsid w:val="00207483"/>
    <w:rsid w:val="0021275E"/>
    <w:rsid w:val="00214BF3"/>
    <w:rsid w:val="00220B9A"/>
    <w:rsid w:val="00224F1D"/>
    <w:rsid w:val="0023365F"/>
    <w:rsid w:val="0024167E"/>
    <w:rsid w:val="00244D7D"/>
    <w:rsid w:val="002470A2"/>
    <w:rsid w:val="00262C45"/>
    <w:rsid w:val="002631F2"/>
    <w:rsid w:val="002712AF"/>
    <w:rsid w:val="0027513A"/>
    <w:rsid w:val="00275998"/>
    <w:rsid w:val="00284448"/>
    <w:rsid w:val="00285A38"/>
    <w:rsid w:val="00287EAB"/>
    <w:rsid w:val="002917EB"/>
    <w:rsid w:val="00292681"/>
    <w:rsid w:val="00293370"/>
    <w:rsid w:val="00296FEA"/>
    <w:rsid w:val="002A1472"/>
    <w:rsid w:val="002C773F"/>
    <w:rsid w:val="002C78FF"/>
    <w:rsid w:val="002D513F"/>
    <w:rsid w:val="002E105E"/>
    <w:rsid w:val="002E27A7"/>
    <w:rsid w:val="002F37F9"/>
    <w:rsid w:val="00305CED"/>
    <w:rsid w:val="003073C0"/>
    <w:rsid w:val="003077A7"/>
    <w:rsid w:val="0031684B"/>
    <w:rsid w:val="0032519A"/>
    <w:rsid w:val="003335DD"/>
    <w:rsid w:val="00335EB7"/>
    <w:rsid w:val="00347B73"/>
    <w:rsid w:val="00360E9A"/>
    <w:rsid w:val="00364A58"/>
    <w:rsid w:val="00374347"/>
    <w:rsid w:val="00376310"/>
    <w:rsid w:val="00377013"/>
    <w:rsid w:val="0037715C"/>
    <w:rsid w:val="00380587"/>
    <w:rsid w:val="003815F2"/>
    <w:rsid w:val="00387BCF"/>
    <w:rsid w:val="00391320"/>
    <w:rsid w:val="00392F9B"/>
    <w:rsid w:val="003A2C2C"/>
    <w:rsid w:val="003A4777"/>
    <w:rsid w:val="003A4C16"/>
    <w:rsid w:val="003B3754"/>
    <w:rsid w:val="003B5EB7"/>
    <w:rsid w:val="003C077F"/>
    <w:rsid w:val="003C54AB"/>
    <w:rsid w:val="003C634E"/>
    <w:rsid w:val="003C7B05"/>
    <w:rsid w:val="003D1377"/>
    <w:rsid w:val="003D270B"/>
    <w:rsid w:val="003D5D4A"/>
    <w:rsid w:val="003E3FCE"/>
    <w:rsid w:val="003E74F4"/>
    <w:rsid w:val="00400D9E"/>
    <w:rsid w:val="00407967"/>
    <w:rsid w:val="00412AA9"/>
    <w:rsid w:val="00414202"/>
    <w:rsid w:val="00416190"/>
    <w:rsid w:val="0042601B"/>
    <w:rsid w:val="00433B67"/>
    <w:rsid w:val="00446167"/>
    <w:rsid w:val="00462F1A"/>
    <w:rsid w:val="004636AF"/>
    <w:rsid w:val="0046377B"/>
    <w:rsid w:val="00466FAB"/>
    <w:rsid w:val="004746E4"/>
    <w:rsid w:val="00476B19"/>
    <w:rsid w:val="00486254"/>
    <w:rsid w:val="004A5055"/>
    <w:rsid w:val="004B2A98"/>
    <w:rsid w:val="004D09AF"/>
    <w:rsid w:val="004D5183"/>
    <w:rsid w:val="004D74D6"/>
    <w:rsid w:val="004E665B"/>
    <w:rsid w:val="004F26B9"/>
    <w:rsid w:val="004F3B59"/>
    <w:rsid w:val="004F4B3B"/>
    <w:rsid w:val="00507A06"/>
    <w:rsid w:val="00541CA3"/>
    <w:rsid w:val="005421E8"/>
    <w:rsid w:val="005457FB"/>
    <w:rsid w:val="005504DB"/>
    <w:rsid w:val="00550DF9"/>
    <w:rsid w:val="00554E8A"/>
    <w:rsid w:val="0057560E"/>
    <w:rsid w:val="005769B4"/>
    <w:rsid w:val="005807C0"/>
    <w:rsid w:val="00590E51"/>
    <w:rsid w:val="00591A63"/>
    <w:rsid w:val="005A029F"/>
    <w:rsid w:val="005A763F"/>
    <w:rsid w:val="005A7D91"/>
    <w:rsid w:val="005B46D5"/>
    <w:rsid w:val="005B477B"/>
    <w:rsid w:val="005B625B"/>
    <w:rsid w:val="005C5AD7"/>
    <w:rsid w:val="005D02F9"/>
    <w:rsid w:val="005D1316"/>
    <w:rsid w:val="005D1700"/>
    <w:rsid w:val="005D58A8"/>
    <w:rsid w:val="005D7FE6"/>
    <w:rsid w:val="005E0AA8"/>
    <w:rsid w:val="005E66BA"/>
    <w:rsid w:val="005F00BE"/>
    <w:rsid w:val="005F21F2"/>
    <w:rsid w:val="005F266A"/>
    <w:rsid w:val="0060094B"/>
    <w:rsid w:val="00602D73"/>
    <w:rsid w:val="006238C5"/>
    <w:rsid w:val="006319EB"/>
    <w:rsid w:val="00631A8A"/>
    <w:rsid w:val="00632F7A"/>
    <w:rsid w:val="00641D0F"/>
    <w:rsid w:val="00642566"/>
    <w:rsid w:val="00645E1C"/>
    <w:rsid w:val="00646268"/>
    <w:rsid w:val="00665A71"/>
    <w:rsid w:val="006665CA"/>
    <w:rsid w:val="00667C92"/>
    <w:rsid w:val="00674778"/>
    <w:rsid w:val="0067549E"/>
    <w:rsid w:val="00681224"/>
    <w:rsid w:val="00683E7A"/>
    <w:rsid w:val="006840D9"/>
    <w:rsid w:val="00696371"/>
    <w:rsid w:val="006B0520"/>
    <w:rsid w:val="006B2278"/>
    <w:rsid w:val="006B28A1"/>
    <w:rsid w:val="006B6822"/>
    <w:rsid w:val="006C2609"/>
    <w:rsid w:val="006C49D1"/>
    <w:rsid w:val="006C57D7"/>
    <w:rsid w:val="006C721E"/>
    <w:rsid w:val="006E2825"/>
    <w:rsid w:val="006E294B"/>
    <w:rsid w:val="006E453F"/>
    <w:rsid w:val="006E6BC5"/>
    <w:rsid w:val="006F49DD"/>
    <w:rsid w:val="00710726"/>
    <w:rsid w:val="00711DAA"/>
    <w:rsid w:val="00726C18"/>
    <w:rsid w:val="00731C31"/>
    <w:rsid w:val="00757DF1"/>
    <w:rsid w:val="00760175"/>
    <w:rsid w:val="00760916"/>
    <w:rsid w:val="00764C4C"/>
    <w:rsid w:val="00765572"/>
    <w:rsid w:val="00770FC6"/>
    <w:rsid w:val="0078650D"/>
    <w:rsid w:val="00791AB1"/>
    <w:rsid w:val="00794B39"/>
    <w:rsid w:val="007A3005"/>
    <w:rsid w:val="007B3AE9"/>
    <w:rsid w:val="007B5862"/>
    <w:rsid w:val="007B798A"/>
    <w:rsid w:val="007C1505"/>
    <w:rsid w:val="007C1B59"/>
    <w:rsid w:val="007D0A70"/>
    <w:rsid w:val="007D4DE8"/>
    <w:rsid w:val="007D6ACA"/>
    <w:rsid w:val="007E59BF"/>
    <w:rsid w:val="007F40C2"/>
    <w:rsid w:val="00803A4D"/>
    <w:rsid w:val="0082644C"/>
    <w:rsid w:val="00835E34"/>
    <w:rsid w:val="00847B1D"/>
    <w:rsid w:val="008500CE"/>
    <w:rsid w:val="00851699"/>
    <w:rsid w:val="00857B9E"/>
    <w:rsid w:val="00857BB4"/>
    <w:rsid w:val="0087349B"/>
    <w:rsid w:val="00875B0F"/>
    <w:rsid w:val="008767E0"/>
    <w:rsid w:val="00876D81"/>
    <w:rsid w:val="0088049B"/>
    <w:rsid w:val="008822F5"/>
    <w:rsid w:val="00887955"/>
    <w:rsid w:val="0089439C"/>
    <w:rsid w:val="00897F6D"/>
    <w:rsid w:val="008A3736"/>
    <w:rsid w:val="008A783D"/>
    <w:rsid w:val="008B6D88"/>
    <w:rsid w:val="008C0AC4"/>
    <w:rsid w:val="008D2945"/>
    <w:rsid w:val="008D2E99"/>
    <w:rsid w:val="008D2F70"/>
    <w:rsid w:val="008F13F9"/>
    <w:rsid w:val="008F1623"/>
    <w:rsid w:val="009022EF"/>
    <w:rsid w:val="00916BE9"/>
    <w:rsid w:val="00921B83"/>
    <w:rsid w:val="00937DD8"/>
    <w:rsid w:val="0094315C"/>
    <w:rsid w:val="0094573E"/>
    <w:rsid w:val="00947953"/>
    <w:rsid w:val="009552A6"/>
    <w:rsid w:val="00955428"/>
    <w:rsid w:val="009568C2"/>
    <w:rsid w:val="009575C6"/>
    <w:rsid w:val="0096213C"/>
    <w:rsid w:val="00963B08"/>
    <w:rsid w:val="00972201"/>
    <w:rsid w:val="00982F7F"/>
    <w:rsid w:val="00984E59"/>
    <w:rsid w:val="00992CF3"/>
    <w:rsid w:val="00994573"/>
    <w:rsid w:val="0099647D"/>
    <w:rsid w:val="009A0DEF"/>
    <w:rsid w:val="009A49A0"/>
    <w:rsid w:val="009B6D8A"/>
    <w:rsid w:val="009D30F1"/>
    <w:rsid w:val="009D7638"/>
    <w:rsid w:val="009E09F0"/>
    <w:rsid w:val="009E268D"/>
    <w:rsid w:val="009F5AB0"/>
    <w:rsid w:val="00A011CA"/>
    <w:rsid w:val="00A17B98"/>
    <w:rsid w:val="00A3609C"/>
    <w:rsid w:val="00A37560"/>
    <w:rsid w:val="00A423EE"/>
    <w:rsid w:val="00A44246"/>
    <w:rsid w:val="00A45A6F"/>
    <w:rsid w:val="00A47A81"/>
    <w:rsid w:val="00A50F1A"/>
    <w:rsid w:val="00A51587"/>
    <w:rsid w:val="00A51741"/>
    <w:rsid w:val="00A52764"/>
    <w:rsid w:val="00A547AF"/>
    <w:rsid w:val="00A56784"/>
    <w:rsid w:val="00A573BF"/>
    <w:rsid w:val="00A61A9E"/>
    <w:rsid w:val="00A707E3"/>
    <w:rsid w:val="00A71093"/>
    <w:rsid w:val="00A71D16"/>
    <w:rsid w:val="00A72816"/>
    <w:rsid w:val="00A74E4C"/>
    <w:rsid w:val="00A7547D"/>
    <w:rsid w:val="00A91E56"/>
    <w:rsid w:val="00A93DD7"/>
    <w:rsid w:val="00AA0CBE"/>
    <w:rsid w:val="00AC21CF"/>
    <w:rsid w:val="00AC665B"/>
    <w:rsid w:val="00AD06E3"/>
    <w:rsid w:val="00AD4188"/>
    <w:rsid w:val="00AE7F18"/>
    <w:rsid w:val="00AE7F8B"/>
    <w:rsid w:val="00AF14A2"/>
    <w:rsid w:val="00AF4B89"/>
    <w:rsid w:val="00AF7162"/>
    <w:rsid w:val="00B00ADC"/>
    <w:rsid w:val="00B01DAE"/>
    <w:rsid w:val="00B042A9"/>
    <w:rsid w:val="00B074C1"/>
    <w:rsid w:val="00B12723"/>
    <w:rsid w:val="00B14E3E"/>
    <w:rsid w:val="00B20105"/>
    <w:rsid w:val="00B2083B"/>
    <w:rsid w:val="00B30E40"/>
    <w:rsid w:val="00B32E4D"/>
    <w:rsid w:val="00B41A62"/>
    <w:rsid w:val="00B422C6"/>
    <w:rsid w:val="00B4239D"/>
    <w:rsid w:val="00B427AD"/>
    <w:rsid w:val="00B46AD4"/>
    <w:rsid w:val="00B5075E"/>
    <w:rsid w:val="00B5549F"/>
    <w:rsid w:val="00B56685"/>
    <w:rsid w:val="00B57368"/>
    <w:rsid w:val="00B60594"/>
    <w:rsid w:val="00B753E4"/>
    <w:rsid w:val="00B81AD0"/>
    <w:rsid w:val="00B91EEC"/>
    <w:rsid w:val="00BA32BB"/>
    <w:rsid w:val="00BB64DF"/>
    <w:rsid w:val="00BC0362"/>
    <w:rsid w:val="00BC28A7"/>
    <w:rsid w:val="00BC3B94"/>
    <w:rsid w:val="00BD5244"/>
    <w:rsid w:val="00BD60F0"/>
    <w:rsid w:val="00BD6511"/>
    <w:rsid w:val="00BD6BFC"/>
    <w:rsid w:val="00BE5272"/>
    <w:rsid w:val="00BF632C"/>
    <w:rsid w:val="00BF6D3B"/>
    <w:rsid w:val="00BF7A48"/>
    <w:rsid w:val="00C01CF2"/>
    <w:rsid w:val="00C0326F"/>
    <w:rsid w:val="00C03D42"/>
    <w:rsid w:val="00C053EA"/>
    <w:rsid w:val="00C075E9"/>
    <w:rsid w:val="00C10BC7"/>
    <w:rsid w:val="00C12C46"/>
    <w:rsid w:val="00C16B17"/>
    <w:rsid w:val="00C225F8"/>
    <w:rsid w:val="00C2585B"/>
    <w:rsid w:val="00C26B45"/>
    <w:rsid w:val="00C359D9"/>
    <w:rsid w:val="00C568E6"/>
    <w:rsid w:val="00C57E7C"/>
    <w:rsid w:val="00C61D88"/>
    <w:rsid w:val="00C640FD"/>
    <w:rsid w:val="00C66223"/>
    <w:rsid w:val="00C66387"/>
    <w:rsid w:val="00C7081A"/>
    <w:rsid w:val="00C73E73"/>
    <w:rsid w:val="00C7541E"/>
    <w:rsid w:val="00C81E86"/>
    <w:rsid w:val="00C8325B"/>
    <w:rsid w:val="00C84AF0"/>
    <w:rsid w:val="00C911E3"/>
    <w:rsid w:val="00CA09E7"/>
    <w:rsid w:val="00CA1250"/>
    <w:rsid w:val="00CA165F"/>
    <w:rsid w:val="00CA19AF"/>
    <w:rsid w:val="00CE6529"/>
    <w:rsid w:val="00CE76D3"/>
    <w:rsid w:val="00CE7C6E"/>
    <w:rsid w:val="00CE7F2D"/>
    <w:rsid w:val="00CF3448"/>
    <w:rsid w:val="00CF4E49"/>
    <w:rsid w:val="00D10CF2"/>
    <w:rsid w:val="00D210E6"/>
    <w:rsid w:val="00D247C6"/>
    <w:rsid w:val="00D454AD"/>
    <w:rsid w:val="00D46C70"/>
    <w:rsid w:val="00D54A61"/>
    <w:rsid w:val="00D62B4E"/>
    <w:rsid w:val="00D7425B"/>
    <w:rsid w:val="00D77F36"/>
    <w:rsid w:val="00D87B9A"/>
    <w:rsid w:val="00D934CE"/>
    <w:rsid w:val="00D96F27"/>
    <w:rsid w:val="00DA4FA8"/>
    <w:rsid w:val="00DA5029"/>
    <w:rsid w:val="00DC0C52"/>
    <w:rsid w:val="00DC4E87"/>
    <w:rsid w:val="00DD667B"/>
    <w:rsid w:val="00DE3274"/>
    <w:rsid w:val="00DE6089"/>
    <w:rsid w:val="00DF79E8"/>
    <w:rsid w:val="00E129A4"/>
    <w:rsid w:val="00E135B5"/>
    <w:rsid w:val="00E1407C"/>
    <w:rsid w:val="00E20EE1"/>
    <w:rsid w:val="00E232F6"/>
    <w:rsid w:val="00E2699E"/>
    <w:rsid w:val="00E27DF1"/>
    <w:rsid w:val="00E33CE8"/>
    <w:rsid w:val="00E3617A"/>
    <w:rsid w:val="00E37476"/>
    <w:rsid w:val="00E40C98"/>
    <w:rsid w:val="00E455CF"/>
    <w:rsid w:val="00E466F0"/>
    <w:rsid w:val="00E53773"/>
    <w:rsid w:val="00E624D3"/>
    <w:rsid w:val="00E62F7D"/>
    <w:rsid w:val="00E713EF"/>
    <w:rsid w:val="00E71CEE"/>
    <w:rsid w:val="00E76E1D"/>
    <w:rsid w:val="00E808F7"/>
    <w:rsid w:val="00E84CE5"/>
    <w:rsid w:val="00E857E9"/>
    <w:rsid w:val="00E85A6B"/>
    <w:rsid w:val="00E85DEB"/>
    <w:rsid w:val="00E86853"/>
    <w:rsid w:val="00E871C7"/>
    <w:rsid w:val="00E974C2"/>
    <w:rsid w:val="00E97985"/>
    <w:rsid w:val="00EA6315"/>
    <w:rsid w:val="00EB42CD"/>
    <w:rsid w:val="00EB5FE4"/>
    <w:rsid w:val="00ED1B02"/>
    <w:rsid w:val="00ED1D42"/>
    <w:rsid w:val="00ED407F"/>
    <w:rsid w:val="00ED4E9D"/>
    <w:rsid w:val="00ED6FCD"/>
    <w:rsid w:val="00ED760D"/>
    <w:rsid w:val="00EE10EE"/>
    <w:rsid w:val="00EE3376"/>
    <w:rsid w:val="00EE5484"/>
    <w:rsid w:val="00EF1479"/>
    <w:rsid w:val="00EF31AF"/>
    <w:rsid w:val="00EF38F7"/>
    <w:rsid w:val="00F0145B"/>
    <w:rsid w:val="00F05FDF"/>
    <w:rsid w:val="00F15349"/>
    <w:rsid w:val="00F2069B"/>
    <w:rsid w:val="00F20CE8"/>
    <w:rsid w:val="00F27EDA"/>
    <w:rsid w:val="00F31564"/>
    <w:rsid w:val="00F361D6"/>
    <w:rsid w:val="00F40383"/>
    <w:rsid w:val="00F4283D"/>
    <w:rsid w:val="00F46D50"/>
    <w:rsid w:val="00F54F9D"/>
    <w:rsid w:val="00F60F90"/>
    <w:rsid w:val="00F66073"/>
    <w:rsid w:val="00F66E8F"/>
    <w:rsid w:val="00F71825"/>
    <w:rsid w:val="00F819BB"/>
    <w:rsid w:val="00F8322F"/>
    <w:rsid w:val="00F8734E"/>
    <w:rsid w:val="00F87EED"/>
    <w:rsid w:val="00F92A9D"/>
    <w:rsid w:val="00FA3018"/>
    <w:rsid w:val="00FA7E45"/>
    <w:rsid w:val="00FB0585"/>
    <w:rsid w:val="00FB6CB7"/>
    <w:rsid w:val="00FC5298"/>
    <w:rsid w:val="00FD50EC"/>
    <w:rsid w:val="00FD588D"/>
    <w:rsid w:val="00FD63EB"/>
    <w:rsid w:val="00FE15BF"/>
    <w:rsid w:val="00FE1A07"/>
    <w:rsid w:val="00FF41F6"/>
    <w:rsid w:val="00FF42D9"/>
    <w:rsid w:val="00FF62A9"/>
    <w:rsid w:val="00FF6DEC"/>
    <w:rsid w:val="00FF7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448"/>
    <w:pPr>
      <w:spacing w:line="360" w:lineRule="auto"/>
      <w:jc w:val="both"/>
    </w:pPr>
    <w:rPr>
      <w:rFonts w:ascii="Arial" w:hAnsi="Arial" w:cs="Arial"/>
    </w:rPr>
  </w:style>
  <w:style w:type="paragraph" w:styleId="Heading1">
    <w:name w:val="heading 1"/>
    <w:basedOn w:val="Normal"/>
    <w:next w:val="Normal"/>
    <w:link w:val="Heading1Char"/>
    <w:qFormat/>
    <w:locked/>
    <w:rsid w:val="00BD60F0"/>
    <w:pPr>
      <w:outlineLvl w:val="0"/>
    </w:pPr>
    <w:rPr>
      <w:color w:val="000000"/>
    </w:rPr>
  </w:style>
  <w:style w:type="paragraph" w:styleId="Heading2">
    <w:name w:val="heading 2"/>
    <w:basedOn w:val="Normal"/>
    <w:next w:val="Normal"/>
    <w:link w:val="Heading2Char"/>
    <w:unhideWhenUsed/>
    <w:qFormat/>
    <w:locked/>
    <w:rsid w:val="00284448"/>
    <w:pPr>
      <w:jc w:val="center"/>
      <w:outlineLvl w:val="1"/>
    </w:pPr>
    <w:rPr>
      <w:color w:val="000000"/>
      <w:u w:val="single"/>
    </w:rPr>
  </w:style>
  <w:style w:type="paragraph" w:styleId="Heading3">
    <w:name w:val="heading 3"/>
    <w:basedOn w:val="Heading2"/>
    <w:next w:val="Normal"/>
    <w:link w:val="Heading3Char"/>
    <w:unhideWhenUsed/>
    <w:qFormat/>
    <w:locked/>
    <w:rsid w:val="00284448"/>
    <w:pPr>
      <w:jc w:val="left"/>
      <w:outlineLvl w:val="2"/>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basedOn w:val="Normal"/>
    <w:link w:val="NormaltextChar"/>
    <w:uiPriority w:val="99"/>
    <w:rsid w:val="009568C2"/>
    <w:rPr>
      <w:rFonts w:ascii="Calibri" w:hAnsi="Calibri" w:cs="Tahoma"/>
      <w:color w:val="000000"/>
      <w:lang w:eastAsia="zh-CN"/>
    </w:rPr>
  </w:style>
  <w:style w:type="character" w:customStyle="1" w:styleId="NormaltextChar">
    <w:name w:val="Normaltext Char"/>
    <w:basedOn w:val="DefaultParagraphFont"/>
    <w:link w:val="Normaltext"/>
    <w:uiPriority w:val="99"/>
    <w:locked/>
    <w:rsid w:val="009568C2"/>
    <w:rPr>
      <w:rFonts w:cs="Tahoma"/>
      <w:color w:val="000000"/>
      <w:sz w:val="24"/>
      <w:szCs w:val="24"/>
    </w:rPr>
  </w:style>
  <w:style w:type="character" w:styleId="Hyperlink">
    <w:name w:val="Hyperlink"/>
    <w:basedOn w:val="DefaultParagraphFont"/>
    <w:uiPriority w:val="99"/>
    <w:rsid w:val="00E135B5"/>
    <w:rPr>
      <w:rFonts w:cs="Times New Roman"/>
      <w:color w:val="0000FF"/>
      <w:u w:val="single"/>
    </w:rPr>
  </w:style>
  <w:style w:type="paragraph" w:customStyle="1" w:styleId="Level2">
    <w:name w:val="Level2"/>
    <w:basedOn w:val="Normal"/>
    <w:link w:val="Level2Char"/>
    <w:uiPriority w:val="99"/>
    <w:rsid w:val="00ED1D42"/>
    <w:pPr>
      <w:outlineLvl w:val="1"/>
    </w:pPr>
    <w:rPr>
      <w:rFonts w:ascii="Calibri" w:hAnsi="Calibri" w:cs="Tahoma"/>
      <w:b/>
      <w:color w:val="000000"/>
      <w:lang w:eastAsia="zh-CN"/>
    </w:rPr>
  </w:style>
  <w:style w:type="character" w:customStyle="1" w:styleId="Level2Char">
    <w:name w:val="Level2 Char"/>
    <w:basedOn w:val="DefaultParagraphFont"/>
    <w:link w:val="Level2"/>
    <w:uiPriority w:val="99"/>
    <w:locked/>
    <w:rsid w:val="00ED1D42"/>
    <w:rPr>
      <w:rFonts w:cs="Tahoma"/>
      <w:b/>
      <w:color w:val="000000"/>
      <w:sz w:val="24"/>
      <w:szCs w:val="24"/>
    </w:rPr>
  </w:style>
  <w:style w:type="character" w:customStyle="1" w:styleId="addmd">
    <w:name w:val="addmd"/>
    <w:basedOn w:val="DefaultParagraphFont"/>
    <w:uiPriority w:val="99"/>
    <w:rsid w:val="00FF41F6"/>
    <w:rPr>
      <w:rFonts w:cs="Times New Roman"/>
    </w:rPr>
  </w:style>
  <w:style w:type="paragraph" w:styleId="DocumentMap">
    <w:name w:val="Document Map"/>
    <w:basedOn w:val="Normal"/>
    <w:link w:val="DocumentMapChar"/>
    <w:uiPriority w:val="99"/>
    <w:semiHidden/>
    <w:rsid w:val="005E0AA8"/>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E0AA8"/>
    <w:rPr>
      <w:rFonts w:ascii="Tahoma" w:hAnsi="Tahoma" w:cs="Tahoma"/>
      <w:sz w:val="16"/>
      <w:szCs w:val="16"/>
      <w:lang w:eastAsia="en-GB"/>
    </w:rPr>
  </w:style>
  <w:style w:type="paragraph" w:styleId="NormalWeb">
    <w:name w:val="Normal (Web)"/>
    <w:basedOn w:val="Normal"/>
    <w:uiPriority w:val="99"/>
    <w:rsid w:val="001B199B"/>
    <w:pPr>
      <w:spacing w:before="100" w:beforeAutospacing="1" w:after="100" w:afterAutospacing="1"/>
    </w:pPr>
  </w:style>
  <w:style w:type="character" w:styleId="CommentReference">
    <w:name w:val="annotation reference"/>
    <w:basedOn w:val="DefaultParagraphFont"/>
    <w:uiPriority w:val="99"/>
    <w:semiHidden/>
    <w:rsid w:val="009A49A0"/>
    <w:rPr>
      <w:rFonts w:cs="Times New Roman"/>
      <w:sz w:val="16"/>
      <w:szCs w:val="16"/>
    </w:rPr>
  </w:style>
  <w:style w:type="paragraph" w:styleId="CommentText">
    <w:name w:val="annotation text"/>
    <w:basedOn w:val="Normal"/>
    <w:link w:val="CommentTextChar"/>
    <w:uiPriority w:val="99"/>
    <w:semiHidden/>
    <w:rsid w:val="009A49A0"/>
    <w:rPr>
      <w:sz w:val="20"/>
      <w:szCs w:val="20"/>
    </w:rPr>
  </w:style>
  <w:style w:type="character" w:customStyle="1" w:styleId="CommentTextChar">
    <w:name w:val="Comment Text Char"/>
    <w:basedOn w:val="DefaultParagraphFont"/>
    <w:link w:val="CommentText"/>
    <w:uiPriority w:val="99"/>
    <w:semiHidden/>
    <w:locked/>
    <w:rsid w:val="009A49A0"/>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9A49A0"/>
    <w:rPr>
      <w:b/>
      <w:bCs/>
    </w:rPr>
  </w:style>
  <w:style w:type="character" w:customStyle="1" w:styleId="CommentSubjectChar">
    <w:name w:val="Comment Subject Char"/>
    <w:basedOn w:val="CommentTextChar"/>
    <w:link w:val="CommentSubject"/>
    <w:uiPriority w:val="99"/>
    <w:semiHidden/>
    <w:locked/>
    <w:rsid w:val="009A49A0"/>
    <w:rPr>
      <w:rFonts w:ascii="Times New Roman" w:hAnsi="Times New Roman" w:cs="Times New Roman"/>
      <w:b/>
      <w:bCs/>
    </w:rPr>
  </w:style>
  <w:style w:type="paragraph" w:styleId="BalloonText">
    <w:name w:val="Balloon Text"/>
    <w:basedOn w:val="Normal"/>
    <w:link w:val="BalloonTextChar"/>
    <w:uiPriority w:val="99"/>
    <w:semiHidden/>
    <w:rsid w:val="009A49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49A0"/>
    <w:rPr>
      <w:rFonts w:ascii="Tahoma" w:hAnsi="Tahoma" w:cs="Tahoma"/>
      <w:sz w:val="16"/>
      <w:szCs w:val="16"/>
    </w:rPr>
  </w:style>
  <w:style w:type="paragraph" w:customStyle="1" w:styleId="normaltext0">
    <w:name w:val="normaltext"/>
    <w:basedOn w:val="Normal"/>
    <w:uiPriority w:val="99"/>
    <w:rsid w:val="00665A71"/>
  </w:style>
  <w:style w:type="paragraph" w:styleId="Header">
    <w:name w:val="header"/>
    <w:basedOn w:val="Normal"/>
    <w:link w:val="HeaderChar"/>
    <w:uiPriority w:val="99"/>
    <w:semiHidden/>
    <w:rsid w:val="00C16B17"/>
    <w:pPr>
      <w:tabs>
        <w:tab w:val="center" w:pos="4513"/>
        <w:tab w:val="right" w:pos="9026"/>
      </w:tabs>
    </w:pPr>
  </w:style>
  <w:style w:type="character" w:customStyle="1" w:styleId="HeaderChar">
    <w:name w:val="Header Char"/>
    <w:basedOn w:val="DefaultParagraphFont"/>
    <w:link w:val="Header"/>
    <w:uiPriority w:val="99"/>
    <w:semiHidden/>
    <w:locked/>
    <w:rsid w:val="00C16B17"/>
    <w:rPr>
      <w:rFonts w:ascii="Times New Roman" w:hAnsi="Times New Roman" w:cs="Times New Roman"/>
      <w:sz w:val="24"/>
      <w:szCs w:val="24"/>
    </w:rPr>
  </w:style>
  <w:style w:type="paragraph" w:styleId="Footer">
    <w:name w:val="footer"/>
    <w:basedOn w:val="Normal"/>
    <w:link w:val="FooterChar"/>
    <w:uiPriority w:val="99"/>
    <w:rsid w:val="00C16B17"/>
    <w:pPr>
      <w:tabs>
        <w:tab w:val="center" w:pos="4513"/>
        <w:tab w:val="right" w:pos="9026"/>
      </w:tabs>
    </w:pPr>
  </w:style>
  <w:style w:type="character" w:customStyle="1" w:styleId="FooterChar">
    <w:name w:val="Footer Char"/>
    <w:basedOn w:val="DefaultParagraphFont"/>
    <w:link w:val="Footer"/>
    <w:uiPriority w:val="99"/>
    <w:locked/>
    <w:rsid w:val="00C16B17"/>
    <w:rPr>
      <w:rFonts w:ascii="Times New Roman" w:hAnsi="Times New Roman" w:cs="Times New Roman"/>
      <w:sz w:val="24"/>
      <w:szCs w:val="24"/>
    </w:rPr>
  </w:style>
  <w:style w:type="paragraph" w:styleId="HTMLAddress">
    <w:name w:val="HTML Address"/>
    <w:basedOn w:val="Normal"/>
    <w:link w:val="HTMLAddressChar"/>
    <w:uiPriority w:val="99"/>
    <w:rsid w:val="009D30F1"/>
    <w:rPr>
      <w:i/>
      <w:iCs/>
    </w:rPr>
  </w:style>
  <w:style w:type="character" w:customStyle="1" w:styleId="HTMLAddressChar">
    <w:name w:val="HTML Address Char"/>
    <w:basedOn w:val="DefaultParagraphFont"/>
    <w:link w:val="HTMLAddress"/>
    <w:uiPriority w:val="99"/>
    <w:semiHidden/>
    <w:locked/>
    <w:rsid w:val="00C10BC7"/>
    <w:rPr>
      <w:rFonts w:ascii="Times New Roman" w:hAnsi="Times New Roman" w:cs="Times New Roman"/>
      <w:i/>
      <w:iCs/>
      <w:sz w:val="24"/>
      <w:szCs w:val="24"/>
    </w:rPr>
  </w:style>
  <w:style w:type="character" w:styleId="Strong">
    <w:name w:val="Strong"/>
    <w:basedOn w:val="DefaultParagraphFont"/>
    <w:uiPriority w:val="22"/>
    <w:qFormat/>
    <w:locked/>
    <w:rsid w:val="009D30F1"/>
    <w:rPr>
      <w:rFonts w:cs="Times New Roman"/>
      <w:b/>
      <w:bCs/>
    </w:rPr>
  </w:style>
  <w:style w:type="character" w:customStyle="1" w:styleId="apple-converted-space">
    <w:name w:val="apple-converted-space"/>
    <w:basedOn w:val="DefaultParagraphFont"/>
    <w:rsid w:val="00066A00"/>
  </w:style>
  <w:style w:type="character" w:customStyle="1" w:styleId="Heading1Char">
    <w:name w:val="Heading 1 Char"/>
    <w:basedOn w:val="DefaultParagraphFont"/>
    <w:link w:val="Heading1"/>
    <w:rsid w:val="00BD60F0"/>
    <w:rPr>
      <w:rFonts w:ascii="Arial" w:hAnsi="Arial" w:cs="Arial"/>
      <w:color w:val="000000"/>
    </w:rPr>
  </w:style>
  <w:style w:type="character" w:customStyle="1" w:styleId="Heading2Char">
    <w:name w:val="Heading 2 Char"/>
    <w:basedOn w:val="DefaultParagraphFont"/>
    <w:link w:val="Heading2"/>
    <w:rsid w:val="00284448"/>
    <w:rPr>
      <w:rFonts w:ascii="Arial" w:hAnsi="Arial" w:cs="Arial"/>
      <w:color w:val="000000"/>
      <w:u w:val="single"/>
    </w:rPr>
  </w:style>
  <w:style w:type="character" w:customStyle="1" w:styleId="Heading3Char">
    <w:name w:val="Heading 3 Char"/>
    <w:basedOn w:val="DefaultParagraphFont"/>
    <w:link w:val="Heading3"/>
    <w:rsid w:val="00284448"/>
    <w:rPr>
      <w:rFonts w:ascii="Arial" w:hAnsi="Arial" w:cs="Arial"/>
      <w:color w:val="000000"/>
    </w:rPr>
  </w:style>
  <w:style w:type="paragraph" w:customStyle="1" w:styleId="Recipientaddress">
    <w:name w:val="Recipient address"/>
    <w:basedOn w:val="Normal"/>
    <w:link w:val="RecipientaddressChar"/>
    <w:qFormat/>
    <w:rsid w:val="008767E0"/>
    <w:pPr>
      <w:spacing w:line="240" w:lineRule="auto"/>
      <w:jc w:val="left"/>
    </w:pPr>
    <w:rPr>
      <w:rFonts w:asciiTheme="minorHAnsi" w:eastAsiaTheme="minorEastAsia" w:hAnsiTheme="minorHAnsi" w:cstheme="minorBidi"/>
      <w:sz w:val="24"/>
    </w:rPr>
  </w:style>
  <w:style w:type="character" w:customStyle="1" w:styleId="RecipientaddressChar">
    <w:name w:val="Recipient address Char"/>
    <w:basedOn w:val="DefaultParagraphFont"/>
    <w:link w:val="Recipientaddress"/>
    <w:rsid w:val="008767E0"/>
    <w:rPr>
      <w:rFonts w:asciiTheme="minorHAnsi" w:eastAsiaTheme="minorEastAsia" w:hAnsiTheme="minorHAnsi" w:cstheme="min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448"/>
    <w:pPr>
      <w:spacing w:line="360" w:lineRule="auto"/>
      <w:jc w:val="both"/>
    </w:pPr>
    <w:rPr>
      <w:rFonts w:ascii="Arial" w:hAnsi="Arial" w:cs="Arial"/>
    </w:rPr>
  </w:style>
  <w:style w:type="paragraph" w:styleId="Heading1">
    <w:name w:val="heading 1"/>
    <w:basedOn w:val="Normal"/>
    <w:next w:val="Normal"/>
    <w:link w:val="Heading1Char"/>
    <w:qFormat/>
    <w:locked/>
    <w:rsid w:val="00BD60F0"/>
    <w:pPr>
      <w:outlineLvl w:val="0"/>
    </w:pPr>
    <w:rPr>
      <w:color w:val="000000"/>
    </w:rPr>
  </w:style>
  <w:style w:type="paragraph" w:styleId="Heading2">
    <w:name w:val="heading 2"/>
    <w:basedOn w:val="Normal"/>
    <w:next w:val="Normal"/>
    <w:link w:val="Heading2Char"/>
    <w:unhideWhenUsed/>
    <w:qFormat/>
    <w:locked/>
    <w:rsid w:val="00284448"/>
    <w:pPr>
      <w:jc w:val="center"/>
      <w:outlineLvl w:val="1"/>
    </w:pPr>
    <w:rPr>
      <w:color w:val="000000"/>
      <w:u w:val="single"/>
    </w:rPr>
  </w:style>
  <w:style w:type="paragraph" w:styleId="Heading3">
    <w:name w:val="heading 3"/>
    <w:basedOn w:val="Heading2"/>
    <w:next w:val="Normal"/>
    <w:link w:val="Heading3Char"/>
    <w:unhideWhenUsed/>
    <w:qFormat/>
    <w:locked/>
    <w:rsid w:val="00284448"/>
    <w:pPr>
      <w:jc w:val="left"/>
      <w:outlineLvl w:val="2"/>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basedOn w:val="Normal"/>
    <w:link w:val="NormaltextChar"/>
    <w:uiPriority w:val="99"/>
    <w:rsid w:val="009568C2"/>
    <w:rPr>
      <w:rFonts w:ascii="Calibri" w:hAnsi="Calibri" w:cs="Tahoma"/>
      <w:color w:val="000000"/>
      <w:lang w:eastAsia="zh-CN"/>
    </w:rPr>
  </w:style>
  <w:style w:type="character" w:customStyle="1" w:styleId="NormaltextChar">
    <w:name w:val="Normaltext Char"/>
    <w:basedOn w:val="DefaultParagraphFont"/>
    <w:link w:val="Normaltext"/>
    <w:uiPriority w:val="99"/>
    <w:locked/>
    <w:rsid w:val="009568C2"/>
    <w:rPr>
      <w:rFonts w:cs="Tahoma"/>
      <w:color w:val="000000"/>
      <w:sz w:val="24"/>
      <w:szCs w:val="24"/>
    </w:rPr>
  </w:style>
  <w:style w:type="character" w:styleId="Hyperlink">
    <w:name w:val="Hyperlink"/>
    <w:basedOn w:val="DefaultParagraphFont"/>
    <w:uiPriority w:val="99"/>
    <w:rsid w:val="00E135B5"/>
    <w:rPr>
      <w:rFonts w:cs="Times New Roman"/>
      <w:color w:val="0000FF"/>
      <w:u w:val="single"/>
    </w:rPr>
  </w:style>
  <w:style w:type="paragraph" w:customStyle="1" w:styleId="Level2">
    <w:name w:val="Level2"/>
    <w:basedOn w:val="Normal"/>
    <w:link w:val="Level2Char"/>
    <w:uiPriority w:val="99"/>
    <w:rsid w:val="00ED1D42"/>
    <w:pPr>
      <w:outlineLvl w:val="1"/>
    </w:pPr>
    <w:rPr>
      <w:rFonts w:ascii="Calibri" w:hAnsi="Calibri" w:cs="Tahoma"/>
      <w:b/>
      <w:color w:val="000000"/>
      <w:lang w:eastAsia="zh-CN"/>
    </w:rPr>
  </w:style>
  <w:style w:type="character" w:customStyle="1" w:styleId="Level2Char">
    <w:name w:val="Level2 Char"/>
    <w:basedOn w:val="DefaultParagraphFont"/>
    <w:link w:val="Level2"/>
    <w:uiPriority w:val="99"/>
    <w:locked/>
    <w:rsid w:val="00ED1D42"/>
    <w:rPr>
      <w:rFonts w:cs="Tahoma"/>
      <w:b/>
      <w:color w:val="000000"/>
      <w:sz w:val="24"/>
      <w:szCs w:val="24"/>
    </w:rPr>
  </w:style>
  <w:style w:type="character" w:customStyle="1" w:styleId="addmd">
    <w:name w:val="addmd"/>
    <w:basedOn w:val="DefaultParagraphFont"/>
    <w:uiPriority w:val="99"/>
    <w:rsid w:val="00FF41F6"/>
    <w:rPr>
      <w:rFonts w:cs="Times New Roman"/>
    </w:rPr>
  </w:style>
  <w:style w:type="paragraph" w:styleId="DocumentMap">
    <w:name w:val="Document Map"/>
    <w:basedOn w:val="Normal"/>
    <w:link w:val="DocumentMapChar"/>
    <w:uiPriority w:val="99"/>
    <w:semiHidden/>
    <w:rsid w:val="005E0AA8"/>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E0AA8"/>
    <w:rPr>
      <w:rFonts w:ascii="Tahoma" w:hAnsi="Tahoma" w:cs="Tahoma"/>
      <w:sz w:val="16"/>
      <w:szCs w:val="16"/>
      <w:lang w:eastAsia="en-GB"/>
    </w:rPr>
  </w:style>
  <w:style w:type="paragraph" w:styleId="NormalWeb">
    <w:name w:val="Normal (Web)"/>
    <w:basedOn w:val="Normal"/>
    <w:uiPriority w:val="99"/>
    <w:rsid w:val="001B199B"/>
    <w:pPr>
      <w:spacing w:before="100" w:beforeAutospacing="1" w:after="100" w:afterAutospacing="1"/>
    </w:pPr>
  </w:style>
  <w:style w:type="character" w:styleId="CommentReference">
    <w:name w:val="annotation reference"/>
    <w:basedOn w:val="DefaultParagraphFont"/>
    <w:uiPriority w:val="99"/>
    <w:semiHidden/>
    <w:rsid w:val="009A49A0"/>
    <w:rPr>
      <w:rFonts w:cs="Times New Roman"/>
      <w:sz w:val="16"/>
      <w:szCs w:val="16"/>
    </w:rPr>
  </w:style>
  <w:style w:type="paragraph" w:styleId="CommentText">
    <w:name w:val="annotation text"/>
    <w:basedOn w:val="Normal"/>
    <w:link w:val="CommentTextChar"/>
    <w:uiPriority w:val="99"/>
    <w:semiHidden/>
    <w:rsid w:val="009A49A0"/>
    <w:rPr>
      <w:sz w:val="20"/>
      <w:szCs w:val="20"/>
    </w:rPr>
  </w:style>
  <w:style w:type="character" w:customStyle="1" w:styleId="CommentTextChar">
    <w:name w:val="Comment Text Char"/>
    <w:basedOn w:val="DefaultParagraphFont"/>
    <w:link w:val="CommentText"/>
    <w:uiPriority w:val="99"/>
    <w:semiHidden/>
    <w:locked/>
    <w:rsid w:val="009A49A0"/>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9A49A0"/>
    <w:rPr>
      <w:b/>
      <w:bCs/>
    </w:rPr>
  </w:style>
  <w:style w:type="character" w:customStyle="1" w:styleId="CommentSubjectChar">
    <w:name w:val="Comment Subject Char"/>
    <w:basedOn w:val="CommentTextChar"/>
    <w:link w:val="CommentSubject"/>
    <w:uiPriority w:val="99"/>
    <w:semiHidden/>
    <w:locked/>
    <w:rsid w:val="009A49A0"/>
    <w:rPr>
      <w:rFonts w:ascii="Times New Roman" w:hAnsi="Times New Roman" w:cs="Times New Roman"/>
      <w:b/>
      <w:bCs/>
    </w:rPr>
  </w:style>
  <w:style w:type="paragraph" w:styleId="BalloonText">
    <w:name w:val="Balloon Text"/>
    <w:basedOn w:val="Normal"/>
    <w:link w:val="BalloonTextChar"/>
    <w:uiPriority w:val="99"/>
    <w:semiHidden/>
    <w:rsid w:val="009A49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49A0"/>
    <w:rPr>
      <w:rFonts w:ascii="Tahoma" w:hAnsi="Tahoma" w:cs="Tahoma"/>
      <w:sz w:val="16"/>
      <w:szCs w:val="16"/>
    </w:rPr>
  </w:style>
  <w:style w:type="paragraph" w:customStyle="1" w:styleId="normaltext0">
    <w:name w:val="normaltext"/>
    <w:basedOn w:val="Normal"/>
    <w:uiPriority w:val="99"/>
    <w:rsid w:val="00665A71"/>
  </w:style>
  <w:style w:type="paragraph" w:styleId="Header">
    <w:name w:val="header"/>
    <w:basedOn w:val="Normal"/>
    <w:link w:val="HeaderChar"/>
    <w:uiPriority w:val="99"/>
    <w:semiHidden/>
    <w:rsid w:val="00C16B17"/>
    <w:pPr>
      <w:tabs>
        <w:tab w:val="center" w:pos="4513"/>
        <w:tab w:val="right" w:pos="9026"/>
      </w:tabs>
    </w:pPr>
  </w:style>
  <w:style w:type="character" w:customStyle="1" w:styleId="HeaderChar">
    <w:name w:val="Header Char"/>
    <w:basedOn w:val="DefaultParagraphFont"/>
    <w:link w:val="Header"/>
    <w:uiPriority w:val="99"/>
    <w:semiHidden/>
    <w:locked/>
    <w:rsid w:val="00C16B17"/>
    <w:rPr>
      <w:rFonts w:ascii="Times New Roman" w:hAnsi="Times New Roman" w:cs="Times New Roman"/>
      <w:sz w:val="24"/>
      <w:szCs w:val="24"/>
    </w:rPr>
  </w:style>
  <w:style w:type="paragraph" w:styleId="Footer">
    <w:name w:val="footer"/>
    <w:basedOn w:val="Normal"/>
    <w:link w:val="FooterChar"/>
    <w:uiPriority w:val="99"/>
    <w:rsid w:val="00C16B17"/>
    <w:pPr>
      <w:tabs>
        <w:tab w:val="center" w:pos="4513"/>
        <w:tab w:val="right" w:pos="9026"/>
      </w:tabs>
    </w:pPr>
  </w:style>
  <w:style w:type="character" w:customStyle="1" w:styleId="FooterChar">
    <w:name w:val="Footer Char"/>
    <w:basedOn w:val="DefaultParagraphFont"/>
    <w:link w:val="Footer"/>
    <w:uiPriority w:val="99"/>
    <w:locked/>
    <w:rsid w:val="00C16B17"/>
    <w:rPr>
      <w:rFonts w:ascii="Times New Roman" w:hAnsi="Times New Roman" w:cs="Times New Roman"/>
      <w:sz w:val="24"/>
      <w:szCs w:val="24"/>
    </w:rPr>
  </w:style>
  <w:style w:type="paragraph" w:styleId="HTMLAddress">
    <w:name w:val="HTML Address"/>
    <w:basedOn w:val="Normal"/>
    <w:link w:val="HTMLAddressChar"/>
    <w:uiPriority w:val="99"/>
    <w:rsid w:val="009D30F1"/>
    <w:rPr>
      <w:i/>
      <w:iCs/>
    </w:rPr>
  </w:style>
  <w:style w:type="character" w:customStyle="1" w:styleId="HTMLAddressChar">
    <w:name w:val="HTML Address Char"/>
    <w:basedOn w:val="DefaultParagraphFont"/>
    <w:link w:val="HTMLAddress"/>
    <w:uiPriority w:val="99"/>
    <w:semiHidden/>
    <w:locked/>
    <w:rsid w:val="00C10BC7"/>
    <w:rPr>
      <w:rFonts w:ascii="Times New Roman" w:hAnsi="Times New Roman" w:cs="Times New Roman"/>
      <w:i/>
      <w:iCs/>
      <w:sz w:val="24"/>
      <w:szCs w:val="24"/>
    </w:rPr>
  </w:style>
  <w:style w:type="character" w:styleId="Strong">
    <w:name w:val="Strong"/>
    <w:basedOn w:val="DefaultParagraphFont"/>
    <w:uiPriority w:val="22"/>
    <w:qFormat/>
    <w:locked/>
    <w:rsid w:val="009D30F1"/>
    <w:rPr>
      <w:rFonts w:cs="Times New Roman"/>
      <w:b/>
      <w:bCs/>
    </w:rPr>
  </w:style>
  <w:style w:type="character" w:customStyle="1" w:styleId="apple-converted-space">
    <w:name w:val="apple-converted-space"/>
    <w:basedOn w:val="DefaultParagraphFont"/>
    <w:rsid w:val="00066A00"/>
  </w:style>
  <w:style w:type="character" w:customStyle="1" w:styleId="Heading1Char">
    <w:name w:val="Heading 1 Char"/>
    <w:basedOn w:val="DefaultParagraphFont"/>
    <w:link w:val="Heading1"/>
    <w:rsid w:val="00BD60F0"/>
    <w:rPr>
      <w:rFonts w:ascii="Arial" w:hAnsi="Arial" w:cs="Arial"/>
      <w:color w:val="000000"/>
    </w:rPr>
  </w:style>
  <w:style w:type="character" w:customStyle="1" w:styleId="Heading2Char">
    <w:name w:val="Heading 2 Char"/>
    <w:basedOn w:val="DefaultParagraphFont"/>
    <w:link w:val="Heading2"/>
    <w:rsid w:val="00284448"/>
    <w:rPr>
      <w:rFonts w:ascii="Arial" w:hAnsi="Arial" w:cs="Arial"/>
      <w:color w:val="000000"/>
      <w:u w:val="single"/>
    </w:rPr>
  </w:style>
  <w:style w:type="character" w:customStyle="1" w:styleId="Heading3Char">
    <w:name w:val="Heading 3 Char"/>
    <w:basedOn w:val="DefaultParagraphFont"/>
    <w:link w:val="Heading3"/>
    <w:rsid w:val="00284448"/>
    <w:rPr>
      <w:rFonts w:ascii="Arial" w:hAnsi="Arial" w:cs="Arial"/>
      <w:color w:val="000000"/>
    </w:rPr>
  </w:style>
  <w:style w:type="paragraph" w:customStyle="1" w:styleId="Recipientaddress">
    <w:name w:val="Recipient address"/>
    <w:basedOn w:val="Normal"/>
    <w:link w:val="RecipientaddressChar"/>
    <w:qFormat/>
    <w:rsid w:val="008767E0"/>
    <w:pPr>
      <w:spacing w:line="240" w:lineRule="auto"/>
      <w:jc w:val="left"/>
    </w:pPr>
    <w:rPr>
      <w:rFonts w:asciiTheme="minorHAnsi" w:eastAsiaTheme="minorEastAsia" w:hAnsiTheme="minorHAnsi" w:cstheme="minorBidi"/>
      <w:sz w:val="24"/>
    </w:rPr>
  </w:style>
  <w:style w:type="character" w:customStyle="1" w:styleId="RecipientaddressChar">
    <w:name w:val="Recipient address Char"/>
    <w:basedOn w:val="DefaultParagraphFont"/>
    <w:link w:val="Recipientaddress"/>
    <w:rsid w:val="008767E0"/>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7881">
      <w:bodyDiv w:val="1"/>
      <w:marLeft w:val="0"/>
      <w:marRight w:val="0"/>
      <w:marTop w:val="0"/>
      <w:marBottom w:val="0"/>
      <w:divBdr>
        <w:top w:val="none" w:sz="0" w:space="0" w:color="auto"/>
        <w:left w:val="none" w:sz="0" w:space="0" w:color="auto"/>
        <w:bottom w:val="none" w:sz="0" w:space="0" w:color="auto"/>
        <w:right w:val="none" w:sz="0" w:space="0" w:color="auto"/>
      </w:divBdr>
    </w:div>
    <w:div w:id="229535097">
      <w:marLeft w:val="0"/>
      <w:marRight w:val="0"/>
      <w:marTop w:val="0"/>
      <w:marBottom w:val="0"/>
      <w:divBdr>
        <w:top w:val="none" w:sz="0" w:space="0" w:color="auto"/>
        <w:left w:val="none" w:sz="0" w:space="0" w:color="auto"/>
        <w:bottom w:val="none" w:sz="0" w:space="0" w:color="auto"/>
        <w:right w:val="none" w:sz="0" w:space="0" w:color="auto"/>
      </w:divBdr>
      <w:divsChild>
        <w:div w:id="229535105">
          <w:marLeft w:val="0"/>
          <w:marRight w:val="0"/>
          <w:marTop w:val="0"/>
          <w:marBottom w:val="0"/>
          <w:divBdr>
            <w:top w:val="none" w:sz="0" w:space="0" w:color="auto"/>
            <w:left w:val="none" w:sz="0" w:space="0" w:color="auto"/>
            <w:bottom w:val="none" w:sz="0" w:space="0" w:color="auto"/>
            <w:right w:val="none" w:sz="0" w:space="0" w:color="auto"/>
          </w:divBdr>
          <w:divsChild>
            <w:div w:id="229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098">
      <w:marLeft w:val="0"/>
      <w:marRight w:val="0"/>
      <w:marTop w:val="0"/>
      <w:marBottom w:val="0"/>
      <w:divBdr>
        <w:top w:val="none" w:sz="0" w:space="0" w:color="auto"/>
        <w:left w:val="none" w:sz="0" w:space="0" w:color="auto"/>
        <w:bottom w:val="none" w:sz="0" w:space="0" w:color="auto"/>
        <w:right w:val="none" w:sz="0" w:space="0" w:color="auto"/>
      </w:divBdr>
    </w:div>
    <w:div w:id="229535099">
      <w:marLeft w:val="0"/>
      <w:marRight w:val="0"/>
      <w:marTop w:val="0"/>
      <w:marBottom w:val="0"/>
      <w:divBdr>
        <w:top w:val="none" w:sz="0" w:space="0" w:color="auto"/>
        <w:left w:val="none" w:sz="0" w:space="0" w:color="auto"/>
        <w:bottom w:val="none" w:sz="0" w:space="0" w:color="auto"/>
        <w:right w:val="none" w:sz="0" w:space="0" w:color="auto"/>
      </w:divBdr>
    </w:div>
    <w:div w:id="229535101">
      <w:marLeft w:val="0"/>
      <w:marRight w:val="0"/>
      <w:marTop w:val="0"/>
      <w:marBottom w:val="0"/>
      <w:divBdr>
        <w:top w:val="none" w:sz="0" w:space="0" w:color="auto"/>
        <w:left w:val="none" w:sz="0" w:space="0" w:color="auto"/>
        <w:bottom w:val="none" w:sz="0" w:space="0" w:color="auto"/>
        <w:right w:val="none" w:sz="0" w:space="0" w:color="auto"/>
      </w:divBdr>
      <w:divsChild>
        <w:div w:id="229535102">
          <w:marLeft w:val="0"/>
          <w:marRight w:val="0"/>
          <w:marTop w:val="0"/>
          <w:marBottom w:val="0"/>
          <w:divBdr>
            <w:top w:val="none" w:sz="0" w:space="0" w:color="auto"/>
            <w:left w:val="none" w:sz="0" w:space="0" w:color="auto"/>
            <w:bottom w:val="none" w:sz="0" w:space="0" w:color="auto"/>
            <w:right w:val="none" w:sz="0" w:space="0" w:color="auto"/>
          </w:divBdr>
          <w:divsChild>
            <w:div w:id="2295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103">
      <w:marLeft w:val="0"/>
      <w:marRight w:val="0"/>
      <w:marTop w:val="0"/>
      <w:marBottom w:val="0"/>
      <w:divBdr>
        <w:top w:val="none" w:sz="0" w:space="0" w:color="auto"/>
        <w:left w:val="none" w:sz="0" w:space="0" w:color="auto"/>
        <w:bottom w:val="none" w:sz="0" w:space="0" w:color="auto"/>
        <w:right w:val="none" w:sz="0" w:space="0" w:color="auto"/>
      </w:divBdr>
    </w:div>
    <w:div w:id="229535107">
      <w:marLeft w:val="0"/>
      <w:marRight w:val="0"/>
      <w:marTop w:val="0"/>
      <w:marBottom w:val="0"/>
      <w:divBdr>
        <w:top w:val="none" w:sz="0" w:space="0" w:color="auto"/>
        <w:left w:val="none" w:sz="0" w:space="0" w:color="auto"/>
        <w:bottom w:val="none" w:sz="0" w:space="0" w:color="auto"/>
        <w:right w:val="none" w:sz="0" w:space="0" w:color="auto"/>
      </w:divBdr>
    </w:div>
    <w:div w:id="229535108">
      <w:marLeft w:val="0"/>
      <w:marRight w:val="0"/>
      <w:marTop w:val="0"/>
      <w:marBottom w:val="0"/>
      <w:divBdr>
        <w:top w:val="none" w:sz="0" w:space="0" w:color="auto"/>
        <w:left w:val="none" w:sz="0" w:space="0" w:color="auto"/>
        <w:bottom w:val="none" w:sz="0" w:space="0" w:color="auto"/>
        <w:right w:val="none" w:sz="0" w:space="0" w:color="auto"/>
      </w:divBdr>
    </w:div>
    <w:div w:id="229535109">
      <w:marLeft w:val="0"/>
      <w:marRight w:val="0"/>
      <w:marTop w:val="0"/>
      <w:marBottom w:val="0"/>
      <w:divBdr>
        <w:top w:val="none" w:sz="0" w:space="0" w:color="auto"/>
        <w:left w:val="none" w:sz="0" w:space="0" w:color="auto"/>
        <w:bottom w:val="none" w:sz="0" w:space="0" w:color="auto"/>
        <w:right w:val="none" w:sz="0" w:space="0" w:color="auto"/>
      </w:divBdr>
      <w:divsChild>
        <w:div w:id="229535100">
          <w:marLeft w:val="0"/>
          <w:marRight w:val="0"/>
          <w:marTop w:val="0"/>
          <w:marBottom w:val="0"/>
          <w:divBdr>
            <w:top w:val="none" w:sz="0" w:space="0" w:color="auto"/>
            <w:left w:val="none" w:sz="0" w:space="0" w:color="auto"/>
            <w:bottom w:val="none" w:sz="0" w:space="0" w:color="auto"/>
            <w:right w:val="none" w:sz="0" w:space="0" w:color="auto"/>
          </w:divBdr>
          <w:divsChild>
            <w:div w:id="2295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5110">
      <w:marLeft w:val="0"/>
      <w:marRight w:val="0"/>
      <w:marTop w:val="0"/>
      <w:marBottom w:val="0"/>
      <w:divBdr>
        <w:top w:val="none" w:sz="0" w:space="0" w:color="auto"/>
        <w:left w:val="none" w:sz="0" w:space="0" w:color="auto"/>
        <w:bottom w:val="none" w:sz="0" w:space="0" w:color="auto"/>
        <w:right w:val="none" w:sz="0" w:space="0" w:color="auto"/>
      </w:divBdr>
    </w:div>
    <w:div w:id="229535111">
      <w:marLeft w:val="0"/>
      <w:marRight w:val="0"/>
      <w:marTop w:val="0"/>
      <w:marBottom w:val="0"/>
      <w:divBdr>
        <w:top w:val="none" w:sz="0" w:space="0" w:color="auto"/>
        <w:left w:val="none" w:sz="0" w:space="0" w:color="auto"/>
        <w:bottom w:val="none" w:sz="0" w:space="0" w:color="auto"/>
        <w:right w:val="none" w:sz="0" w:space="0" w:color="auto"/>
      </w:divBdr>
    </w:div>
    <w:div w:id="229535113">
      <w:marLeft w:val="0"/>
      <w:marRight w:val="0"/>
      <w:marTop w:val="0"/>
      <w:marBottom w:val="0"/>
      <w:divBdr>
        <w:top w:val="none" w:sz="0" w:space="0" w:color="auto"/>
        <w:left w:val="none" w:sz="0" w:space="0" w:color="auto"/>
        <w:bottom w:val="none" w:sz="0" w:space="0" w:color="auto"/>
        <w:right w:val="none" w:sz="0" w:space="0" w:color="auto"/>
      </w:divBdr>
    </w:div>
    <w:div w:id="229535123">
      <w:marLeft w:val="0"/>
      <w:marRight w:val="0"/>
      <w:marTop w:val="0"/>
      <w:marBottom w:val="0"/>
      <w:divBdr>
        <w:top w:val="none" w:sz="0" w:space="0" w:color="auto"/>
        <w:left w:val="none" w:sz="0" w:space="0" w:color="auto"/>
        <w:bottom w:val="none" w:sz="0" w:space="0" w:color="auto"/>
        <w:right w:val="none" w:sz="0" w:space="0" w:color="auto"/>
      </w:divBdr>
      <w:divsChild>
        <w:div w:id="229535133">
          <w:marLeft w:val="0"/>
          <w:marRight w:val="0"/>
          <w:marTop w:val="0"/>
          <w:marBottom w:val="0"/>
          <w:divBdr>
            <w:top w:val="none" w:sz="0" w:space="0" w:color="auto"/>
            <w:left w:val="none" w:sz="0" w:space="0" w:color="auto"/>
            <w:bottom w:val="none" w:sz="0" w:space="0" w:color="auto"/>
            <w:right w:val="none" w:sz="0" w:space="0" w:color="auto"/>
          </w:divBdr>
          <w:divsChild>
            <w:div w:id="229535148">
              <w:marLeft w:val="0"/>
              <w:marRight w:val="0"/>
              <w:marTop w:val="0"/>
              <w:marBottom w:val="0"/>
              <w:divBdr>
                <w:top w:val="none" w:sz="0" w:space="0" w:color="auto"/>
                <w:left w:val="none" w:sz="0" w:space="0" w:color="auto"/>
                <w:bottom w:val="none" w:sz="0" w:space="0" w:color="auto"/>
                <w:right w:val="none" w:sz="0" w:space="0" w:color="auto"/>
              </w:divBdr>
              <w:divsChild>
                <w:div w:id="229535171">
                  <w:marLeft w:val="0"/>
                  <w:marRight w:val="0"/>
                  <w:marTop w:val="0"/>
                  <w:marBottom w:val="0"/>
                  <w:divBdr>
                    <w:top w:val="none" w:sz="0" w:space="0" w:color="auto"/>
                    <w:left w:val="none" w:sz="0" w:space="0" w:color="auto"/>
                    <w:bottom w:val="none" w:sz="0" w:space="0" w:color="auto"/>
                    <w:right w:val="none" w:sz="0" w:space="0" w:color="auto"/>
                  </w:divBdr>
                  <w:divsChild>
                    <w:div w:id="2295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35136">
      <w:marLeft w:val="0"/>
      <w:marRight w:val="0"/>
      <w:marTop w:val="0"/>
      <w:marBottom w:val="0"/>
      <w:divBdr>
        <w:top w:val="none" w:sz="0" w:space="0" w:color="auto"/>
        <w:left w:val="none" w:sz="0" w:space="0" w:color="auto"/>
        <w:bottom w:val="none" w:sz="0" w:space="0" w:color="auto"/>
        <w:right w:val="none" w:sz="0" w:space="0" w:color="auto"/>
      </w:divBdr>
      <w:divsChild>
        <w:div w:id="229535116">
          <w:marLeft w:val="0"/>
          <w:marRight w:val="0"/>
          <w:marTop w:val="0"/>
          <w:marBottom w:val="0"/>
          <w:divBdr>
            <w:top w:val="none" w:sz="0" w:space="0" w:color="auto"/>
            <w:left w:val="none" w:sz="0" w:space="0" w:color="auto"/>
            <w:bottom w:val="none" w:sz="0" w:space="0" w:color="auto"/>
            <w:right w:val="none" w:sz="0" w:space="0" w:color="auto"/>
          </w:divBdr>
          <w:divsChild>
            <w:div w:id="229535172">
              <w:marLeft w:val="0"/>
              <w:marRight w:val="0"/>
              <w:marTop w:val="0"/>
              <w:marBottom w:val="0"/>
              <w:divBdr>
                <w:top w:val="none" w:sz="0" w:space="0" w:color="auto"/>
                <w:left w:val="none" w:sz="0" w:space="0" w:color="auto"/>
                <w:bottom w:val="none" w:sz="0" w:space="0" w:color="auto"/>
                <w:right w:val="none" w:sz="0" w:space="0" w:color="auto"/>
              </w:divBdr>
              <w:divsChild>
                <w:div w:id="229535119">
                  <w:marLeft w:val="0"/>
                  <w:marRight w:val="0"/>
                  <w:marTop w:val="0"/>
                  <w:marBottom w:val="0"/>
                  <w:divBdr>
                    <w:top w:val="none" w:sz="0" w:space="0" w:color="auto"/>
                    <w:left w:val="none" w:sz="0" w:space="0" w:color="auto"/>
                    <w:bottom w:val="none" w:sz="0" w:space="0" w:color="auto"/>
                    <w:right w:val="none" w:sz="0" w:space="0" w:color="auto"/>
                  </w:divBdr>
                  <w:divsChild>
                    <w:div w:id="2295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35151">
      <w:marLeft w:val="0"/>
      <w:marRight w:val="0"/>
      <w:marTop w:val="0"/>
      <w:marBottom w:val="0"/>
      <w:divBdr>
        <w:top w:val="none" w:sz="0" w:space="0" w:color="auto"/>
        <w:left w:val="none" w:sz="0" w:space="0" w:color="auto"/>
        <w:bottom w:val="none" w:sz="0" w:space="0" w:color="auto"/>
        <w:right w:val="none" w:sz="0" w:space="0" w:color="auto"/>
      </w:divBdr>
      <w:divsChild>
        <w:div w:id="229535122">
          <w:marLeft w:val="0"/>
          <w:marRight w:val="0"/>
          <w:marTop w:val="0"/>
          <w:marBottom w:val="0"/>
          <w:divBdr>
            <w:top w:val="none" w:sz="0" w:space="0" w:color="auto"/>
            <w:left w:val="none" w:sz="0" w:space="0" w:color="auto"/>
            <w:bottom w:val="none" w:sz="0" w:space="0" w:color="auto"/>
            <w:right w:val="none" w:sz="0" w:space="0" w:color="auto"/>
          </w:divBdr>
          <w:divsChild>
            <w:div w:id="229535169">
              <w:marLeft w:val="0"/>
              <w:marRight w:val="0"/>
              <w:marTop w:val="0"/>
              <w:marBottom w:val="0"/>
              <w:divBdr>
                <w:top w:val="none" w:sz="0" w:space="0" w:color="auto"/>
                <w:left w:val="none" w:sz="0" w:space="0" w:color="auto"/>
                <w:bottom w:val="none" w:sz="0" w:space="0" w:color="auto"/>
                <w:right w:val="none" w:sz="0" w:space="0" w:color="auto"/>
              </w:divBdr>
              <w:divsChild>
                <w:div w:id="229535137">
                  <w:marLeft w:val="0"/>
                  <w:marRight w:val="0"/>
                  <w:marTop w:val="0"/>
                  <w:marBottom w:val="0"/>
                  <w:divBdr>
                    <w:top w:val="none" w:sz="0" w:space="0" w:color="auto"/>
                    <w:left w:val="none" w:sz="0" w:space="0" w:color="auto"/>
                    <w:bottom w:val="none" w:sz="0" w:space="0" w:color="auto"/>
                    <w:right w:val="none" w:sz="0" w:space="0" w:color="auto"/>
                  </w:divBdr>
                  <w:divsChild>
                    <w:div w:id="229535125">
                      <w:marLeft w:val="0"/>
                      <w:marRight w:val="0"/>
                      <w:marTop w:val="0"/>
                      <w:marBottom w:val="0"/>
                      <w:divBdr>
                        <w:top w:val="none" w:sz="0" w:space="0" w:color="auto"/>
                        <w:left w:val="none" w:sz="0" w:space="0" w:color="auto"/>
                        <w:bottom w:val="none" w:sz="0" w:space="0" w:color="auto"/>
                        <w:right w:val="none" w:sz="0" w:space="0" w:color="auto"/>
                      </w:divBdr>
                      <w:divsChild>
                        <w:div w:id="229535156">
                          <w:marLeft w:val="0"/>
                          <w:marRight w:val="0"/>
                          <w:marTop w:val="0"/>
                          <w:marBottom w:val="0"/>
                          <w:divBdr>
                            <w:top w:val="none" w:sz="0" w:space="0" w:color="auto"/>
                            <w:left w:val="none" w:sz="0" w:space="0" w:color="auto"/>
                            <w:bottom w:val="none" w:sz="0" w:space="0" w:color="auto"/>
                            <w:right w:val="none" w:sz="0" w:space="0" w:color="auto"/>
                          </w:divBdr>
                          <w:divsChild>
                            <w:div w:id="229535126">
                              <w:marLeft w:val="0"/>
                              <w:marRight w:val="0"/>
                              <w:marTop w:val="0"/>
                              <w:marBottom w:val="0"/>
                              <w:divBdr>
                                <w:top w:val="none" w:sz="0" w:space="0" w:color="auto"/>
                                <w:left w:val="none" w:sz="0" w:space="0" w:color="auto"/>
                                <w:bottom w:val="none" w:sz="0" w:space="0" w:color="auto"/>
                                <w:right w:val="none" w:sz="0" w:space="0" w:color="auto"/>
                              </w:divBdr>
                              <w:divsChild>
                                <w:div w:id="229535145">
                                  <w:marLeft w:val="0"/>
                                  <w:marRight w:val="0"/>
                                  <w:marTop w:val="0"/>
                                  <w:marBottom w:val="0"/>
                                  <w:divBdr>
                                    <w:top w:val="none" w:sz="0" w:space="0" w:color="auto"/>
                                    <w:left w:val="none" w:sz="0" w:space="0" w:color="auto"/>
                                    <w:bottom w:val="none" w:sz="0" w:space="0" w:color="auto"/>
                                    <w:right w:val="none" w:sz="0" w:space="0" w:color="auto"/>
                                  </w:divBdr>
                                  <w:divsChild>
                                    <w:div w:id="229535139">
                                      <w:marLeft w:val="0"/>
                                      <w:marRight w:val="0"/>
                                      <w:marTop w:val="0"/>
                                      <w:marBottom w:val="0"/>
                                      <w:divBdr>
                                        <w:top w:val="none" w:sz="0" w:space="0" w:color="auto"/>
                                        <w:left w:val="none" w:sz="0" w:space="0" w:color="auto"/>
                                        <w:bottom w:val="none" w:sz="0" w:space="0" w:color="auto"/>
                                        <w:right w:val="none" w:sz="0" w:space="0" w:color="auto"/>
                                      </w:divBdr>
                                      <w:divsChild>
                                        <w:div w:id="229535159">
                                          <w:marLeft w:val="0"/>
                                          <w:marRight w:val="0"/>
                                          <w:marTop w:val="0"/>
                                          <w:marBottom w:val="0"/>
                                          <w:divBdr>
                                            <w:top w:val="none" w:sz="0" w:space="0" w:color="auto"/>
                                            <w:left w:val="none" w:sz="0" w:space="0" w:color="auto"/>
                                            <w:bottom w:val="none" w:sz="0" w:space="0" w:color="auto"/>
                                            <w:right w:val="none" w:sz="0" w:space="0" w:color="auto"/>
                                          </w:divBdr>
                                          <w:divsChild>
                                            <w:div w:id="229535144">
                                              <w:marLeft w:val="0"/>
                                              <w:marRight w:val="0"/>
                                              <w:marTop w:val="0"/>
                                              <w:marBottom w:val="0"/>
                                              <w:divBdr>
                                                <w:top w:val="none" w:sz="0" w:space="0" w:color="auto"/>
                                                <w:left w:val="none" w:sz="0" w:space="0" w:color="auto"/>
                                                <w:bottom w:val="none" w:sz="0" w:space="0" w:color="auto"/>
                                                <w:right w:val="none" w:sz="0" w:space="0" w:color="auto"/>
                                              </w:divBdr>
                                              <w:divsChild>
                                                <w:div w:id="229535132">
                                                  <w:marLeft w:val="0"/>
                                                  <w:marRight w:val="0"/>
                                                  <w:marTop w:val="0"/>
                                                  <w:marBottom w:val="0"/>
                                                  <w:divBdr>
                                                    <w:top w:val="none" w:sz="0" w:space="0" w:color="auto"/>
                                                    <w:left w:val="none" w:sz="0" w:space="0" w:color="auto"/>
                                                    <w:bottom w:val="none" w:sz="0" w:space="0" w:color="auto"/>
                                                    <w:right w:val="none" w:sz="0" w:space="0" w:color="auto"/>
                                                  </w:divBdr>
                                                  <w:divsChild>
                                                    <w:div w:id="229535161">
                                                      <w:marLeft w:val="0"/>
                                                      <w:marRight w:val="0"/>
                                                      <w:marTop w:val="0"/>
                                                      <w:marBottom w:val="0"/>
                                                      <w:divBdr>
                                                        <w:top w:val="none" w:sz="0" w:space="0" w:color="auto"/>
                                                        <w:left w:val="none" w:sz="0" w:space="0" w:color="auto"/>
                                                        <w:bottom w:val="none" w:sz="0" w:space="0" w:color="auto"/>
                                                        <w:right w:val="none" w:sz="0" w:space="0" w:color="auto"/>
                                                      </w:divBdr>
                                                      <w:divsChild>
                                                        <w:div w:id="229535141">
                                                          <w:marLeft w:val="0"/>
                                                          <w:marRight w:val="0"/>
                                                          <w:marTop w:val="0"/>
                                                          <w:marBottom w:val="0"/>
                                                          <w:divBdr>
                                                            <w:top w:val="none" w:sz="0" w:space="0" w:color="auto"/>
                                                            <w:left w:val="none" w:sz="0" w:space="0" w:color="auto"/>
                                                            <w:bottom w:val="none" w:sz="0" w:space="0" w:color="auto"/>
                                                            <w:right w:val="none" w:sz="0" w:space="0" w:color="auto"/>
                                                          </w:divBdr>
                                                          <w:divsChild>
                                                            <w:div w:id="229535124">
                                                              <w:marLeft w:val="0"/>
                                                              <w:marRight w:val="0"/>
                                                              <w:marTop w:val="0"/>
                                                              <w:marBottom w:val="0"/>
                                                              <w:divBdr>
                                                                <w:top w:val="none" w:sz="0" w:space="0" w:color="auto"/>
                                                                <w:left w:val="none" w:sz="0" w:space="0" w:color="auto"/>
                                                                <w:bottom w:val="none" w:sz="0" w:space="0" w:color="auto"/>
                                                                <w:right w:val="none" w:sz="0" w:space="0" w:color="auto"/>
                                                              </w:divBdr>
                                                              <w:divsChild>
                                                                <w:div w:id="229535135">
                                                                  <w:marLeft w:val="0"/>
                                                                  <w:marRight w:val="0"/>
                                                                  <w:marTop w:val="0"/>
                                                                  <w:marBottom w:val="0"/>
                                                                  <w:divBdr>
                                                                    <w:top w:val="none" w:sz="0" w:space="0" w:color="auto"/>
                                                                    <w:left w:val="none" w:sz="0" w:space="0" w:color="auto"/>
                                                                    <w:bottom w:val="none" w:sz="0" w:space="0" w:color="auto"/>
                                                                    <w:right w:val="none" w:sz="0" w:space="0" w:color="auto"/>
                                                                  </w:divBdr>
                                                                  <w:divsChild>
                                                                    <w:div w:id="229535173">
                                                                      <w:marLeft w:val="0"/>
                                                                      <w:marRight w:val="0"/>
                                                                      <w:marTop w:val="0"/>
                                                                      <w:marBottom w:val="0"/>
                                                                      <w:divBdr>
                                                                        <w:top w:val="none" w:sz="0" w:space="0" w:color="auto"/>
                                                                        <w:left w:val="none" w:sz="0" w:space="0" w:color="auto"/>
                                                                        <w:bottom w:val="none" w:sz="0" w:space="0" w:color="auto"/>
                                                                        <w:right w:val="none" w:sz="0" w:space="0" w:color="auto"/>
                                                                      </w:divBdr>
                                                                      <w:divsChild>
                                                                        <w:div w:id="229535143">
                                                                          <w:marLeft w:val="0"/>
                                                                          <w:marRight w:val="0"/>
                                                                          <w:marTop w:val="0"/>
                                                                          <w:marBottom w:val="0"/>
                                                                          <w:divBdr>
                                                                            <w:top w:val="none" w:sz="0" w:space="0" w:color="auto"/>
                                                                            <w:left w:val="none" w:sz="0" w:space="0" w:color="auto"/>
                                                                            <w:bottom w:val="none" w:sz="0" w:space="0" w:color="auto"/>
                                                                            <w:right w:val="none" w:sz="0" w:space="0" w:color="auto"/>
                                                                          </w:divBdr>
                                                                          <w:divsChild>
                                                                            <w:div w:id="229535175">
                                                                              <w:marLeft w:val="0"/>
                                                                              <w:marRight w:val="0"/>
                                                                              <w:marTop w:val="0"/>
                                                                              <w:marBottom w:val="0"/>
                                                                              <w:divBdr>
                                                                                <w:top w:val="none" w:sz="0" w:space="0" w:color="auto"/>
                                                                                <w:left w:val="none" w:sz="0" w:space="0" w:color="auto"/>
                                                                                <w:bottom w:val="none" w:sz="0" w:space="0" w:color="auto"/>
                                                                                <w:right w:val="none" w:sz="0" w:space="0" w:color="auto"/>
                                                                              </w:divBdr>
                                                                              <w:divsChild>
                                                                                <w:div w:id="229535163">
                                                                                  <w:marLeft w:val="0"/>
                                                                                  <w:marRight w:val="0"/>
                                                                                  <w:marTop w:val="0"/>
                                                                                  <w:marBottom w:val="0"/>
                                                                                  <w:divBdr>
                                                                                    <w:top w:val="none" w:sz="0" w:space="0" w:color="auto"/>
                                                                                    <w:left w:val="none" w:sz="0" w:space="0" w:color="auto"/>
                                                                                    <w:bottom w:val="none" w:sz="0" w:space="0" w:color="auto"/>
                                                                                    <w:right w:val="none" w:sz="0" w:space="0" w:color="auto"/>
                                                                                  </w:divBdr>
                                                                                  <w:divsChild>
                                                                                    <w:div w:id="229535117">
                                                                                      <w:marLeft w:val="0"/>
                                                                                      <w:marRight w:val="0"/>
                                                                                      <w:marTop w:val="0"/>
                                                                                      <w:marBottom w:val="0"/>
                                                                                      <w:divBdr>
                                                                                        <w:top w:val="none" w:sz="0" w:space="0" w:color="auto"/>
                                                                                        <w:left w:val="none" w:sz="0" w:space="0" w:color="auto"/>
                                                                                        <w:bottom w:val="none" w:sz="0" w:space="0" w:color="auto"/>
                                                                                        <w:right w:val="none" w:sz="0" w:space="0" w:color="auto"/>
                                                                                      </w:divBdr>
                                                                                    </w:div>
                                                                                    <w:div w:id="229535118">
                                                                                      <w:marLeft w:val="0"/>
                                                                                      <w:marRight w:val="0"/>
                                                                                      <w:marTop w:val="0"/>
                                                                                      <w:marBottom w:val="0"/>
                                                                                      <w:divBdr>
                                                                                        <w:top w:val="none" w:sz="0" w:space="0" w:color="auto"/>
                                                                                        <w:left w:val="none" w:sz="0" w:space="0" w:color="auto"/>
                                                                                        <w:bottom w:val="none" w:sz="0" w:space="0" w:color="auto"/>
                                                                                        <w:right w:val="none" w:sz="0" w:space="0" w:color="auto"/>
                                                                                      </w:divBdr>
                                                                                    </w:div>
                                                                                    <w:div w:id="229535131">
                                                                                      <w:marLeft w:val="0"/>
                                                                                      <w:marRight w:val="0"/>
                                                                                      <w:marTop w:val="0"/>
                                                                                      <w:marBottom w:val="0"/>
                                                                                      <w:divBdr>
                                                                                        <w:top w:val="none" w:sz="0" w:space="0" w:color="auto"/>
                                                                                        <w:left w:val="none" w:sz="0" w:space="0" w:color="auto"/>
                                                                                        <w:bottom w:val="none" w:sz="0" w:space="0" w:color="auto"/>
                                                                                        <w:right w:val="none" w:sz="0" w:space="0" w:color="auto"/>
                                                                                      </w:divBdr>
                                                                                    </w:div>
                                                                                    <w:div w:id="229535152">
                                                                                      <w:marLeft w:val="0"/>
                                                                                      <w:marRight w:val="0"/>
                                                                                      <w:marTop w:val="0"/>
                                                                                      <w:marBottom w:val="0"/>
                                                                                      <w:divBdr>
                                                                                        <w:top w:val="none" w:sz="0" w:space="0" w:color="auto"/>
                                                                                        <w:left w:val="none" w:sz="0" w:space="0" w:color="auto"/>
                                                                                        <w:bottom w:val="none" w:sz="0" w:space="0" w:color="auto"/>
                                                                                        <w:right w:val="none" w:sz="0" w:space="0" w:color="auto"/>
                                                                                      </w:divBdr>
                                                                                    </w:div>
                                                                                    <w:div w:id="229535166">
                                                                                      <w:marLeft w:val="0"/>
                                                                                      <w:marRight w:val="0"/>
                                                                                      <w:marTop w:val="0"/>
                                                                                      <w:marBottom w:val="0"/>
                                                                                      <w:divBdr>
                                                                                        <w:top w:val="none" w:sz="0" w:space="0" w:color="auto"/>
                                                                                        <w:left w:val="none" w:sz="0" w:space="0" w:color="auto"/>
                                                                                        <w:bottom w:val="none" w:sz="0" w:space="0" w:color="auto"/>
                                                                                        <w:right w:val="none" w:sz="0" w:space="0" w:color="auto"/>
                                                                                      </w:divBdr>
                                                                                    </w:div>
                                                                                    <w:div w:id="229535176">
                                                                                      <w:marLeft w:val="0"/>
                                                                                      <w:marRight w:val="0"/>
                                                                                      <w:marTop w:val="0"/>
                                                                                      <w:marBottom w:val="0"/>
                                                                                      <w:divBdr>
                                                                                        <w:top w:val="none" w:sz="0" w:space="0" w:color="auto"/>
                                                                                        <w:left w:val="none" w:sz="0" w:space="0" w:color="auto"/>
                                                                                        <w:bottom w:val="none" w:sz="0" w:space="0" w:color="auto"/>
                                                                                        <w:right w:val="none" w:sz="0" w:space="0" w:color="auto"/>
                                                                                      </w:divBdr>
                                                                                    </w:div>
                                                                                    <w:div w:id="22953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535153">
      <w:marLeft w:val="0"/>
      <w:marRight w:val="0"/>
      <w:marTop w:val="0"/>
      <w:marBottom w:val="0"/>
      <w:divBdr>
        <w:top w:val="none" w:sz="0" w:space="0" w:color="auto"/>
        <w:left w:val="none" w:sz="0" w:space="0" w:color="auto"/>
        <w:bottom w:val="none" w:sz="0" w:space="0" w:color="auto"/>
        <w:right w:val="none" w:sz="0" w:space="0" w:color="auto"/>
      </w:divBdr>
      <w:divsChild>
        <w:div w:id="229535140">
          <w:marLeft w:val="0"/>
          <w:marRight w:val="0"/>
          <w:marTop w:val="0"/>
          <w:marBottom w:val="0"/>
          <w:divBdr>
            <w:top w:val="none" w:sz="0" w:space="0" w:color="auto"/>
            <w:left w:val="none" w:sz="0" w:space="0" w:color="auto"/>
            <w:bottom w:val="none" w:sz="0" w:space="0" w:color="auto"/>
            <w:right w:val="none" w:sz="0" w:space="0" w:color="auto"/>
          </w:divBdr>
          <w:divsChild>
            <w:div w:id="229535147">
              <w:marLeft w:val="0"/>
              <w:marRight w:val="0"/>
              <w:marTop w:val="0"/>
              <w:marBottom w:val="0"/>
              <w:divBdr>
                <w:top w:val="none" w:sz="0" w:space="0" w:color="auto"/>
                <w:left w:val="none" w:sz="0" w:space="0" w:color="auto"/>
                <w:bottom w:val="none" w:sz="0" w:space="0" w:color="auto"/>
                <w:right w:val="none" w:sz="0" w:space="0" w:color="auto"/>
              </w:divBdr>
              <w:divsChild>
                <w:div w:id="229535146">
                  <w:marLeft w:val="0"/>
                  <w:marRight w:val="0"/>
                  <w:marTop w:val="0"/>
                  <w:marBottom w:val="0"/>
                  <w:divBdr>
                    <w:top w:val="none" w:sz="0" w:space="0" w:color="auto"/>
                    <w:left w:val="none" w:sz="0" w:space="0" w:color="auto"/>
                    <w:bottom w:val="none" w:sz="0" w:space="0" w:color="auto"/>
                    <w:right w:val="none" w:sz="0" w:space="0" w:color="auto"/>
                  </w:divBdr>
                  <w:divsChild>
                    <w:div w:id="229535180">
                      <w:marLeft w:val="0"/>
                      <w:marRight w:val="0"/>
                      <w:marTop w:val="0"/>
                      <w:marBottom w:val="0"/>
                      <w:divBdr>
                        <w:top w:val="none" w:sz="0" w:space="0" w:color="auto"/>
                        <w:left w:val="none" w:sz="0" w:space="0" w:color="auto"/>
                        <w:bottom w:val="none" w:sz="0" w:space="0" w:color="auto"/>
                        <w:right w:val="none" w:sz="0" w:space="0" w:color="auto"/>
                      </w:divBdr>
                      <w:divsChild>
                        <w:div w:id="229535160">
                          <w:marLeft w:val="0"/>
                          <w:marRight w:val="0"/>
                          <w:marTop w:val="0"/>
                          <w:marBottom w:val="0"/>
                          <w:divBdr>
                            <w:top w:val="none" w:sz="0" w:space="0" w:color="auto"/>
                            <w:left w:val="none" w:sz="0" w:space="0" w:color="auto"/>
                            <w:bottom w:val="none" w:sz="0" w:space="0" w:color="auto"/>
                            <w:right w:val="none" w:sz="0" w:space="0" w:color="auto"/>
                          </w:divBdr>
                          <w:divsChild>
                            <w:div w:id="229535178">
                              <w:marLeft w:val="0"/>
                              <w:marRight w:val="0"/>
                              <w:marTop w:val="0"/>
                              <w:marBottom w:val="0"/>
                              <w:divBdr>
                                <w:top w:val="none" w:sz="0" w:space="0" w:color="auto"/>
                                <w:left w:val="none" w:sz="0" w:space="0" w:color="auto"/>
                                <w:bottom w:val="none" w:sz="0" w:space="0" w:color="auto"/>
                                <w:right w:val="none" w:sz="0" w:space="0" w:color="auto"/>
                              </w:divBdr>
                              <w:divsChild>
                                <w:div w:id="229535129">
                                  <w:marLeft w:val="0"/>
                                  <w:marRight w:val="0"/>
                                  <w:marTop w:val="0"/>
                                  <w:marBottom w:val="0"/>
                                  <w:divBdr>
                                    <w:top w:val="none" w:sz="0" w:space="0" w:color="auto"/>
                                    <w:left w:val="none" w:sz="0" w:space="0" w:color="auto"/>
                                    <w:bottom w:val="none" w:sz="0" w:space="0" w:color="auto"/>
                                    <w:right w:val="none" w:sz="0" w:space="0" w:color="auto"/>
                                  </w:divBdr>
                                  <w:divsChild>
                                    <w:div w:id="229535165">
                                      <w:marLeft w:val="0"/>
                                      <w:marRight w:val="0"/>
                                      <w:marTop w:val="0"/>
                                      <w:marBottom w:val="0"/>
                                      <w:divBdr>
                                        <w:top w:val="none" w:sz="0" w:space="0" w:color="auto"/>
                                        <w:left w:val="none" w:sz="0" w:space="0" w:color="auto"/>
                                        <w:bottom w:val="none" w:sz="0" w:space="0" w:color="auto"/>
                                        <w:right w:val="none" w:sz="0" w:space="0" w:color="auto"/>
                                      </w:divBdr>
                                      <w:divsChild>
                                        <w:div w:id="229535179">
                                          <w:marLeft w:val="0"/>
                                          <w:marRight w:val="0"/>
                                          <w:marTop w:val="0"/>
                                          <w:marBottom w:val="0"/>
                                          <w:divBdr>
                                            <w:top w:val="none" w:sz="0" w:space="0" w:color="auto"/>
                                            <w:left w:val="none" w:sz="0" w:space="0" w:color="auto"/>
                                            <w:bottom w:val="none" w:sz="0" w:space="0" w:color="auto"/>
                                            <w:right w:val="none" w:sz="0" w:space="0" w:color="auto"/>
                                          </w:divBdr>
                                          <w:divsChild>
                                            <w:div w:id="229535130">
                                              <w:marLeft w:val="0"/>
                                              <w:marRight w:val="0"/>
                                              <w:marTop w:val="0"/>
                                              <w:marBottom w:val="0"/>
                                              <w:divBdr>
                                                <w:top w:val="none" w:sz="0" w:space="0" w:color="auto"/>
                                                <w:left w:val="none" w:sz="0" w:space="0" w:color="auto"/>
                                                <w:bottom w:val="none" w:sz="0" w:space="0" w:color="auto"/>
                                                <w:right w:val="none" w:sz="0" w:space="0" w:color="auto"/>
                                              </w:divBdr>
                                              <w:divsChild>
                                                <w:div w:id="229535170">
                                                  <w:marLeft w:val="0"/>
                                                  <w:marRight w:val="0"/>
                                                  <w:marTop w:val="0"/>
                                                  <w:marBottom w:val="0"/>
                                                  <w:divBdr>
                                                    <w:top w:val="none" w:sz="0" w:space="0" w:color="auto"/>
                                                    <w:left w:val="none" w:sz="0" w:space="0" w:color="auto"/>
                                                    <w:bottom w:val="none" w:sz="0" w:space="0" w:color="auto"/>
                                                    <w:right w:val="none" w:sz="0" w:space="0" w:color="auto"/>
                                                  </w:divBdr>
                                                  <w:divsChild>
                                                    <w:div w:id="229535155">
                                                      <w:marLeft w:val="0"/>
                                                      <w:marRight w:val="0"/>
                                                      <w:marTop w:val="0"/>
                                                      <w:marBottom w:val="0"/>
                                                      <w:divBdr>
                                                        <w:top w:val="none" w:sz="0" w:space="0" w:color="auto"/>
                                                        <w:left w:val="none" w:sz="0" w:space="0" w:color="auto"/>
                                                        <w:bottom w:val="none" w:sz="0" w:space="0" w:color="auto"/>
                                                        <w:right w:val="none" w:sz="0" w:space="0" w:color="auto"/>
                                                      </w:divBdr>
                                                      <w:divsChild>
                                                        <w:div w:id="229535120">
                                                          <w:marLeft w:val="0"/>
                                                          <w:marRight w:val="0"/>
                                                          <w:marTop w:val="0"/>
                                                          <w:marBottom w:val="0"/>
                                                          <w:divBdr>
                                                            <w:top w:val="none" w:sz="0" w:space="0" w:color="auto"/>
                                                            <w:left w:val="none" w:sz="0" w:space="0" w:color="auto"/>
                                                            <w:bottom w:val="none" w:sz="0" w:space="0" w:color="auto"/>
                                                            <w:right w:val="none" w:sz="0" w:space="0" w:color="auto"/>
                                                          </w:divBdr>
                                                          <w:divsChild>
                                                            <w:div w:id="229535134">
                                                              <w:marLeft w:val="0"/>
                                                              <w:marRight w:val="0"/>
                                                              <w:marTop w:val="0"/>
                                                              <w:marBottom w:val="0"/>
                                                              <w:divBdr>
                                                                <w:top w:val="none" w:sz="0" w:space="0" w:color="auto"/>
                                                                <w:left w:val="none" w:sz="0" w:space="0" w:color="auto"/>
                                                                <w:bottom w:val="none" w:sz="0" w:space="0" w:color="auto"/>
                                                                <w:right w:val="none" w:sz="0" w:space="0" w:color="auto"/>
                                                              </w:divBdr>
                                                              <w:divsChild>
                                                                <w:div w:id="229535127">
                                                                  <w:marLeft w:val="0"/>
                                                                  <w:marRight w:val="0"/>
                                                                  <w:marTop w:val="0"/>
                                                                  <w:marBottom w:val="0"/>
                                                                  <w:divBdr>
                                                                    <w:top w:val="none" w:sz="0" w:space="0" w:color="auto"/>
                                                                    <w:left w:val="none" w:sz="0" w:space="0" w:color="auto"/>
                                                                    <w:bottom w:val="none" w:sz="0" w:space="0" w:color="auto"/>
                                                                    <w:right w:val="none" w:sz="0" w:space="0" w:color="auto"/>
                                                                  </w:divBdr>
                                                                  <w:divsChild>
                                                                    <w:div w:id="229535174">
                                                                      <w:marLeft w:val="0"/>
                                                                      <w:marRight w:val="0"/>
                                                                      <w:marTop w:val="0"/>
                                                                      <w:marBottom w:val="0"/>
                                                                      <w:divBdr>
                                                                        <w:top w:val="none" w:sz="0" w:space="0" w:color="auto"/>
                                                                        <w:left w:val="none" w:sz="0" w:space="0" w:color="auto"/>
                                                                        <w:bottom w:val="none" w:sz="0" w:space="0" w:color="auto"/>
                                                                        <w:right w:val="none" w:sz="0" w:space="0" w:color="auto"/>
                                                                      </w:divBdr>
                                                                      <w:divsChild>
                                                                        <w:div w:id="229535115">
                                                                          <w:marLeft w:val="0"/>
                                                                          <w:marRight w:val="0"/>
                                                                          <w:marTop w:val="0"/>
                                                                          <w:marBottom w:val="0"/>
                                                                          <w:divBdr>
                                                                            <w:top w:val="none" w:sz="0" w:space="0" w:color="auto"/>
                                                                            <w:left w:val="none" w:sz="0" w:space="0" w:color="auto"/>
                                                                            <w:bottom w:val="none" w:sz="0" w:space="0" w:color="auto"/>
                                                                            <w:right w:val="none" w:sz="0" w:space="0" w:color="auto"/>
                                                                          </w:divBdr>
                                                                          <w:divsChild>
                                                                            <w:div w:id="229535154">
                                                                              <w:marLeft w:val="0"/>
                                                                              <w:marRight w:val="0"/>
                                                                              <w:marTop w:val="0"/>
                                                                              <w:marBottom w:val="0"/>
                                                                              <w:divBdr>
                                                                                <w:top w:val="none" w:sz="0" w:space="0" w:color="auto"/>
                                                                                <w:left w:val="none" w:sz="0" w:space="0" w:color="auto"/>
                                                                                <w:bottom w:val="none" w:sz="0" w:space="0" w:color="auto"/>
                                                                                <w:right w:val="none" w:sz="0" w:space="0" w:color="auto"/>
                                                                              </w:divBdr>
                                                                              <w:divsChild>
                                                                                <w:div w:id="229535150">
                                                                                  <w:marLeft w:val="0"/>
                                                                                  <w:marRight w:val="0"/>
                                                                                  <w:marTop w:val="0"/>
                                                                                  <w:marBottom w:val="0"/>
                                                                                  <w:divBdr>
                                                                                    <w:top w:val="none" w:sz="0" w:space="0" w:color="auto"/>
                                                                                    <w:left w:val="none" w:sz="0" w:space="0" w:color="auto"/>
                                                                                    <w:bottom w:val="none" w:sz="0" w:space="0" w:color="auto"/>
                                                                                    <w:right w:val="none" w:sz="0" w:space="0" w:color="auto"/>
                                                                                  </w:divBdr>
                                                                                  <w:divsChild>
                                                                                    <w:div w:id="229535114">
                                                                                      <w:marLeft w:val="0"/>
                                                                                      <w:marRight w:val="0"/>
                                                                                      <w:marTop w:val="0"/>
                                                                                      <w:marBottom w:val="0"/>
                                                                                      <w:divBdr>
                                                                                        <w:top w:val="none" w:sz="0" w:space="0" w:color="auto"/>
                                                                                        <w:left w:val="none" w:sz="0" w:space="0" w:color="auto"/>
                                                                                        <w:bottom w:val="none" w:sz="0" w:space="0" w:color="auto"/>
                                                                                        <w:right w:val="none" w:sz="0" w:space="0" w:color="auto"/>
                                                                                      </w:divBdr>
                                                                                    </w:div>
                                                                                    <w:div w:id="229535121">
                                                                                      <w:marLeft w:val="0"/>
                                                                                      <w:marRight w:val="0"/>
                                                                                      <w:marTop w:val="0"/>
                                                                                      <w:marBottom w:val="0"/>
                                                                                      <w:divBdr>
                                                                                        <w:top w:val="none" w:sz="0" w:space="0" w:color="auto"/>
                                                                                        <w:left w:val="none" w:sz="0" w:space="0" w:color="auto"/>
                                                                                        <w:bottom w:val="none" w:sz="0" w:space="0" w:color="auto"/>
                                                                                        <w:right w:val="none" w:sz="0" w:space="0" w:color="auto"/>
                                                                                      </w:divBdr>
                                                                                    </w:div>
                                                                                    <w:div w:id="229535128">
                                                                                      <w:marLeft w:val="0"/>
                                                                                      <w:marRight w:val="0"/>
                                                                                      <w:marTop w:val="0"/>
                                                                                      <w:marBottom w:val="0"/>
                                                                                      <w:divBdr>
                                                                                        <w:top w:val="none" w:sz="0" w:space="0" w:color="auto"/>
                                                                                        <w:left w:val="none" w:sz="0" w:space="0" w:color="auto"/>
                                                                                        <w:bottom w:val="none" w:sz="0" w:space="0" w:color="auto"/>
                                                                                        <w:right w:val="none" w:sz="0" w:space="0" w:color="auto"/>
                                                                                      </w:divBdr>
                                                                                    </w:div>
                                                                                    <w:div w:id="229535138">
                                                                                      <w:marLeft w:val="0"/>
                                                                                      <w:marRight w:val="0"/>
                                                                                      <w:marTop w:val="0"/>
                                                                                      <w:marBottom w:val="0"/>
                                                                                      <w:divBdr>
                                                                                        <w:top w:val="none" w:sz="0" w:space="0" w:color="auto"/>
                                                                                        <w:left w:val="none" w:sz="0" w:space="0" w:color="auto"/>
                                                                                        <w:bottom w:val="none" w:sz="0" w:space="0" w:color="auto"/>
                                                                                        <w:right w:val="none" w:sz="0" w:space="0" w:color="auto"/>
                                                                                      </w:divBdr>
                                                                                    </w:div>
                                                                                    <w:div w:id="229535149">
                                                                                      <w:marLeft w:val="0"/>
                                                                                      <w:marRight w:val="0"/>
                                                                                      <w:marTop w:val="0"/>
                                                                                      <w:marBottom w:val="0"/>
                                                                                      <w:divBdr>
                                                                                        <w:top w:val="none" w:sz="0" w:space="0" w:color="auto"/>
                                                                                        <w:left w:val="none" w:sz="0" w:space="0" w:color="auto"/>
                                                                                        <w:bottom w:val="none" w:sz="0" w:space="0" w:color="auto"/>
                                                                                        <w:right w:val="none" w:sz="0" w:space="0" w:color="auto"/>
                                                                                      </w:divBdr>
                                                                                    </w:div>
                                                                                    <w:div w:id="229535157">
                                                                                      <w:marLeft w:val="0"/>
                                                                                      <w:marRight w:val="0"/>
                                                                                      <w:marTop w:val="0"/>
                                                                                      <w:marBottom w:val="0"/>
                                                                                      <w:divBdr>
                                                                                        <w:top w:val="none" w:sz="0" w:space="0" w:color="auto"/>
                                                                                        <w:left w:val="none" w:sz="0" w:space="0" w:color="auto"/>
                                                                                        <w:bottom w:val="none" w:sz="0" w:space="0" w:color="auto"/>
                                                                                        <w:right w:val="none" w:sz="0" w:space="0" w:color="auto"/>
                                                                                      </w:divBdr>
                                                                                    </w:div>
                                                                                    <w:div w:id="229535158">
                                                                                      <w:marLeft w:val="0"/>
                                                                                      <w:marRight w:val="0"/>
                                                                                      <w:marTop w:val="0"/>
                                                                                      <w:marBottom w:val="0"/>
                                                                                      <w:divBdr>
                                                                                        <w:top w:val="none" w:sz="0" w:space="0" w:color="auto"/>
                                                                                        <w:left w:val="none" w:sz="0" w:space="0" w:color="auto"/>
                                                                                        <w:bottom w:val="none" w:sz="0" w:space="0" w:color="auto"/>
                                                                                        <w:right w:val="none" w:sz="0" w:space="0" w:color="auto"/>
                                                                                      </w:divBdr>
                                                                                    </w:div>
                                                                                    <w:div w:id="229535162">
                                                                                      <w:marLeft w:val="0"/>
                                                                                      <w:marRight w:val="0"/>
                                                                                      <w:marTop w:val="0"/>
                                                                                      <w:marBottom w:val="0"/>
                                                                                      <w:divBdr>
                                                                                        <w:top w:val="none" w:sz="0" w:space="0" w:color="auto"/>
                                                                                        <w:left w:val="none" w:sz="0" w:space="0" w:color="auto"/>
                                                                                        <w:bottom w:val="none" w:sz="0" w:space="0" w:color="auto"/>
                                                                                        <w:right w:val="none" w:sz="0" w:space="0" w:color="auto"/>
                                                                                      </w:divBdr>
                                                                                    </w:div>
                                                                                    <w:div w:id="229535164">
                                                                                      <w:marLeft w:val="0"/>
                                                                                      <w:marRight w:val="0"/>
                                                                                      <w:marTop w:val="0"/>
                                                                                      <w:marBottom w:val="0"/>
                                                                                      <w:divBdr>
                                                                                        <w:top w:val="none" w:sz="0" w:space="0" w:color="auto"/>
                                                                                        <w:left w:val="none" w:sz="0" w:space="0" w:color="auto"/>
                                                                                        <w:bottom w:val="none" w:sz="0" w:space="0" w:color="auto"/>
                                                                                        <w:right w:val="none" w:sz="0" w:space="0" w:color="auto"/>
                                                                                      </w:divBdr>
                                                                                    </w:div>
                                                                                    <w:div w:id="229535168">
                                                                                      <w:marLeft w:val="0"/>
                                                                                      <w:marRight w:val="0"/>
                                                                                      <w:marTop w:val="0"/>
                                                                                      <w:marBottom w:val="0"/>
                                                                                      <w:divBdr>
                                                                                        <w:top w:val="none" w:sz="0" w:space="0" w:color="auto"/>
                                                                                        <w:left w:val="none" w:sz="0" w:space="0" w:color="auto"/>
                                                                                        <w:bottom w:val="none" w:sz="0" w:space="0" w:color="auto"/>
                                                                                        <w:right w:val="none" w:sz="0" w:space="0" w:color="auto"/>
                                                                                      </w:divBdr>
                                                                                    </w:div>
                                                                                    <w:div w:id="2295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7414">
      <w:bodyDiv w:val="1"/>
      <w:marLeft w:val="0"/>
      <w:marRight w:val="0"/>
      <w:marTop w:val="0"/>
      <w:marBottom w:val="0"/>
      <w:divBdr>
        <w:top w:val="none" w:sz="0" w:space="0" w:color="auto"/>
        <w:left w:val="none" w:sz="0" w:space="0" w:color="auto"/>
        <w:bottom w:val="none" w:sz="0" w:space="0" w:color="auto"/>
        <w:right w:val="none" w:sz="0" w:space="0" w:color="auto"/>
      </w:divBdr>
    </w:div>
    <w:div w:id="1189560669">
      <w:bodyDiv w:val="1"/>
      <w:marLeft w:val="0"/>
      <w:marRight w:val="0"/>
      <w:marTop w:val="0"/>
      <w:marBottom w:val="0"/>
      <w:divBdr>
        <w:top w:val="none" w:sz="0" w:space="0" w:color="auto"/>
        <w:left w:val="none" w:sz="0" w:space="0" w:color="auto"/>
        <w:bottom w:val="none" w:sz="0" w:space="0" w:color="auto"/>
        <w:right w:val="none" w:sz="0" w:space="0" w:color="auto"/>
      </w:divBdr>
    </w:div>
    <w:div w:id="1893424690">
      <w:bodyDiv w:val="1"/>
      <w:marLeft w:val="0"/>
      <w:marRight w:val="0"/>
      <w:marTop w:val="0"/>
      <w:marBottom w:val="0"/>
      <w:divBdr>
        <w:top w:val="none" w:sz="0" w:space="0" w:color="auto"/>
        <w:left w:val="none" w:sz="0" w:space="0" w:color="auto"/>
        <w:bottom w:val="none" w:sz="0" w:space="0" w:color="auto"/>
        <w:right w:val="none" w:sz="0" w:space="0" w:color="auto"/>
      </w:divBdr>
    </w:div>
    <w:div w:id="1895236062">
      <w:bodyDiv w:val="1"/>
      <w:marLeft w:val="0"/>
      <w:marRight w:val="0"/>
      <w:marTop w:val="0"/>
      <w:marBottom w:val="0"/>
      <w:divBdr>
        <w:top w:val="none" w:sz="0" w:space="0" w:color="auto"/>
        <w:left w:val="none" w:sz="0" w:space="0" w:color="auto"/>
        <w:bottom w:val="none" w:sz="0" w:space="0" w:color="auto"/>
        <w:right w:val="none" w:sz="0" w:space="0" w:color="auto"/>
      </w:divBdr>
    </w:div>
    <w:div w:id="206821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5DA06-6FE0-4E9D-84B2-0DD403FA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4249</Words>
  <Characters>24933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vt:lpstr>
    </vt:vector>
  </TitlesOfParts>
  <Company>University of Aberdeen</Company>
  <LinksUpToDate>false</LinksUpToDate>
  <CharactersWithSpaces>29124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DIT</dc:creator>
  <cp:lastModifiedBy>Niamh Fingleton</cp:lastModifiedBy>
  <cp:revision>5</cp:revision>
  <dcterms:created xsi:type="dcterms:W3CDTF">2015-01-12T12:52:00Z</dcterms:created>
  <dcterms:modified xsi:type="dcterms:W3CDTF">2015-01-12T12:59:00Z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-1136036898</vt:i4>
  </property>
  <property fmtid="{D5CDD505-2E9C-101B-9397-08002B2CF9AE}" pid="4" name="_EmailSubject">
    <vt:lpwstr>Supervision paper</vt:lpwstr>
  </property>
  <property fmtid="{D5CDD505-2E9C-101B-9397-08002B2CF9AE}" pid="5" name="_AuthorEmail">
    <vt:lpwstr>R.Holland@uea.ac.uk</vt:lpwstr>
  </property>
  <property fmtid="{D5CDD505-2E9C-101B-9397-08002B2CF9AE}" pid="6" name="_AuthorEmailDisplayName">
    <vt:lpwstr>Holland Richard Prof (MED)</vt:lpwstr>
  </property>
  <property fmtid="{D5CDD505-2E9C-101B-9397-08002B2CF9AE}" pid="7" name="_ReviewingToolsShownOnce">
    <vt:lpwstr/>
  </property>
</Properties>
</file>