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48" w:rsidRDefault="00676448" w:rsidP="005F2B03">
      <w:pPr>
        <w:spacing w:line="480" w:lineRule="auto"/>
        <w:jc w:val="center"/>
        <w:rPr>
          <w:b/>
          <w:bCs/>
        </w:rPr>
      </w:pPr>
    </w:p>
    <w:p w:rsidR="00676448" w:rsidRDefault="00676448" w:rsidP="005F2B03">
      <w:pPr>
        <w:spacing w:line="480" w:lineRule="auto"/>
        <w:jc w:val="center"/>
        <w:rPr>
          <w:b/>
          <w:bCs/>
        </w:rPr>
      </w:pPr>
      <w:r w:rsidRPr="00B4577A">
        <w:rPr>
          <w:b/>
          <w:bCs/>
        </w:rPr>
        <w:t xml:space="preserve">Factors associated with reporting </w:t>
      </w:r>
      <w:r>
        <w:rPr>
          <w:b/>
          <w:bCs/>
        </w:rPr>
        <w:t>classic</w:t>
      </w:r>
      <w:r w:rsidRPr="00B4577A">
        <w:rPr>
          <w:b/>
          <w:bCs/>
        </w:rPr>
        <w:t xml:space="preserve"> menopausal symptoms differ-</w:t>
      </w:r>
      <w:r>
        <w:rPr>
          <w:b/>
          <w:bCs/>
        </w:rPr>
        <w:t xml:space="preserve"> evidence for not grouping hot flushes and night sweats as </w:t>
      </w:r>
      <w:r w:rsidRPr="00B4577A">
        <w:rPr>
          <w:b/>
          <w:bCs/>
        </w:rPr>
        <w:t>“vasomotor symptoms”.</w:t>
      </w:r>
    </w:p>
    <w:p w:rsidR="00676448" w:rsidRDefault="00676448" w:rsidP="005F2B03">
      <w:pPr>
        <w:spacing w:line="480" w:lineRule="auto"/>
        <w:jc w:val="center"/>
        <w:rPr>
          <w:b/>
          <w:bCs/>
        </w:rPr>
      </w:pPr>
    </w:p>
    <w:p w:rsidR="00676448" w:rsidRDefault="00676448" w:rsidP="005F2B03">
      <w:pPr>
        <w:spacing w:line="480" w:lineRule="auto"/>
        <w:jc w:val="center"/>
        <w:rPr>
          <w:b/>
          <w:bCs/>
        </w:rPr>
      </w:pPr>
      <w:r w:rsidRPr="00F97E9A">
        <w:rPr>
          <w:b/>
          <w:bCs/>
        </w:rPr>
        <w:t>Short running title</w:t>
      </w:r>
    </w:p>
    <w:p w:rsidR="00676448" w:rsidRPr="008A1874" w:rsidRDefault="00676448" w:rsidP="005F2B03">
      <w:pPr>
        <w:spacing w:line="480" w:lineRule="auto"/>
        <w:jc w:val="center"/>
      </w:pPr>
      <w:r>
        <w:t>Associations with</w:t>
      </w:r>
      <w:r w:rsidRPr="008A1874">
        <w:t xml:space="preserve"> classic</w:t>
      </w:r>
      <w:r>
        <w:t xml:space="preserve"> menopausal symptoms</w:t>
      </w:r>
    </w:p>
    <w:p w:rsidR="00537FB6" w:rsidRPr="00F25138" w:rsidRDefault="00537FB6" w:rsidP="00537FB6">
      <w:pPr>
        <w:spacing w:line="480" w:lineRule="auto"/>
        <w:jc w:val="center"/>
        <w:rPr>
          <w:b/>
          <w:bCs/>
        </w:rPr>
      </w:pPr>
      <w:r>
        <w:t>O.K. Duffy</w:t>
      </w:r>
      <w:r>
        <w:rPr>
          <w:vertAlign w:val="superscript"/>
        </w:rPr>
        <w:t xml:space="preserve"> </w:t>
      </w:r>
      <w:r>
        <w:t>PhD</w:t>
      </w:r>
      <w:r w:rsidRPr="00F97E9A">
        <w:rPr>
          <w:vertAlign w:val="superscript"/>
        </w:rPr>
        <w:t>1</w:t>
      </w:r>
      <w:r>
        <w:t>, L. Iversen PhD</w:t>
      </w:r>
      <w:r w:rsidRPr="00F97E9A">
        <w:rPr>
          <w:vertAlign w:val="superscript"/>
        </w:rPr>
        <w:t>1</w:t>
      </w:r>
      <w:r>
        <w:t xml:space="preserve"> and P.C. Hannaford</w:t>
      </w:r>
      <w:r w:rsidRPr="003A607C">
        <w:t xml:space="preserve"> </w:t>
      </w:r>
      <w:r w:rsidRPr="003A607C">
        <w:rPr>
          <w:rStyle w:val="apple-style-span"/>
          <w:color w:val="000000"/>
          <w:sz w:val="21"/>
          <w:szCs w:val="21"/>
          <w:shd w:val="clear" w:color="auto" w:fill="FFFFFF"/>
        </w:rPr>
        <w:t>MD</w:t>
      </w:r>
      <w:r w:rsidRPr="00F97E9A">
        <w:rPr>
          <w:vertAlign w:val="superscript"/>
        </w:rPr>
        <w:t>1</w:t>
      </w:r>
    </w:p>
    <w:p w:rsidR="00537FB6" w:rsidRPr="00F97E9A" w:rsidRDefault="00537FB6" w:rsidP="00537FB6">
      <w:pPr>
        <w:spacing w:line="480" w:lineRule="auto"/>
        <w:jc w:val="center"/>
      </w:pPr>
      <w:r w:rsidRPr="00F97E9A">
        <w:rPr>
          <w:vertAlign w:val="superscript"/>
        </w:rPr>
        <w:t>1</w:t>
      </w:r>
      <w:r w:rsidRPr="00F97E9A">
        <w:t>Academic Primary Care, Division of Applied Health Sciences, University of Aberdeen.</w:t>
      </w:r>
    </w:p>
    <w:p w:rsidR="00537FB6" w:rsidRDefault="00537FB6" w:rsidP="00537FB6">
      <w:pPr>
        <w:spacing w:line="480" w:lineRule="auto"/>
      </w:pPr>
    </w:p>
    <w:p w:rsidR="00537FB6" w:rsidRDefault="00537FB6" w:rsidP="00537FB6">
      <w:pPr>
        <w:spacing w:line="480" w:lineRule="auto"/>
      </w:pPr>
      <w:r w:rsidRPr="003A607C">
        <w:t>No financial support</w:t>
      </w:r>
    </w:p>
    <w:p w:rsidR="00537FB6" w:rsidRDefault="00537FB6" w:rsidP="00537FB6">
      <w:pPr>
        <w:spacing w:line="480" w:lineRule="auto"/>
      </w:pPr>
      <w:r>
        <w:t>No conflict of interest to declare</w:t>
      </w:r>
    </w:p>
    <w:p w:rsidR="00537FB6" w:rsidRPr="003A607C" w:rsidRDefault="00537FB6" w:rsidP="00537FB6">
      <w:pPr>
        <w:spacing w:line="480" w:lineRule="auto"/>
      </w:pPr>
      <w:r>
        <w:t>No reprints will be available</w:t>
      </w:r>
    </w:p>
    <w:p w:rsidR="00537FB6" w:rsidRDefault="00537FB6" w:rsidP="00537FB6">
      <w:pPr>
        <w:spacing w:line="480" w:lineRule="auto"/>
      </w:pPr>
    </w:p>
    <w:p w:rsidR="00537FB6" w:rsidRDefault="00537FB6" w:rsidP="00537FB6">
      <w:pPr>
        <w:spacing w:line="480" w:lineRule="auto"/>
      </w:pPr>
      <w:r w:rsidRPr="00F97E9A">
        <w:t>Address for correspondence:</w:t>
      </w:r>
    </w:p>
    <w:p w:rsidR="00537FB6" w:rsidRDefault="00537FB6" w:rsidP="00537FB6">
      <w:pPr>
        <w:spacing w:line="480" w:lineRule="auto"/>
      </w:pPr>
      <w:r>
        <w:t xml:space="preserve"> Dr. Lisa Iversen,</w:t>
      </w:r>
    </w:p>
    <w:p w:rsidR="00537FB6" w:rsidRDefault="00537FB6" w:rsidP="00537FB6">
      <w:pPr>
        <w:spacing w:line="480" w:lineRule="auto"/>
      </w:pPr>
      <w:r>
        <w:t>Academic Primary Care,</w:t>
      </w:r>
    </w:p>
    <w:p w:rsidR="00537FB6" w:rsidRDefault="00537FB6" w:rsidP="00537FB6">
      <w:pPr>
        <w:spacing w:line="480" w:lineRule="auto"/>
      </w:pPr>
      <w:r>
        <w:t>Division of Applied Health Sciences,</w:t>
      </w:r>
    </w:p>
    <w:p w:rsidR="00537FB6" w:rsidRDefault="00537FB6" w:rsidP="00537FB6">
      <w:pPr>
        <w:spacing w:line="480" w:lineRule="auto"/>
      </w:pPr>
      <w:proofErr w:type="spellStart"/>
      <w:r>
        <w:t>Foresterhill</w:t>
      </w:r>
      <w:proofErr w:type="spellEnd"/>
      <w:r>
        <w:t>,</w:t>
      </w:r>
    </w:p>
    <w:p w:rsidR="00537FB6" w:rsidRDefault="00537FB6" w:rsidP="00537FB6">
      <w:pPr>
        <w:spacing w:line="480" w:lineRule="auto"/>
      </w:pPr>
      <w:r>
        <w:t>Aberdeen,</w:t>
      </w:r>
      <w:r w:rsidRPr="00C04632">
        <w:t xml:space="preserve"> </w:t>
      </w:r>
      <w:r>
        <w:t>AB25 2ZD.</w:t>
      </w:r>
    </w:p>
    <w:p w:rsidR="00537FB6" w:rsidRDefault="00537FB6" w:rsidP="00537FB6">
      <w:pPr>
        <w:spacing w:line="480" w:lineRule="auto"/>
      </w:pPr>
      <w:r>
        <w:t>United Kingdom</w:t>
      </w:r>
    </w:p>
    <w:p w:rsidR="00537FB6" w:rsidRDefault="00537FB6" w:rsidP="00537FB6">
      <w:pPr>
        <w:spacing w:line="480" w:lineRule="auto"/>
      </w:pPr>
      <w:r>
        <w:t>Tel: +44 (0)1224 437212</w:t>
      </w:r>
    </w:p>
    <w:p w:rsidR="00537FB6" w:rsidRDefault="00537FB6" w:rsidP="00537FB6">
      <w:pPr>
        <w:spacing w:line="480" w:lineRule="auto"/>
      </w:pPr>
      <w:r>
        <w:t xml:space="preserve">E-mail: </w:t>
      </w:r>
      <w:hyperlink r:id="rId8" w:history="1">
        <w:r w:rsidRPr="008E4217">
          <w:rPr>
            <w:rStyle w:val="Hyperlink"/>
          </w:rPr>
          <w:t>l.iversen@abdn.ac.uk</w:t>
        </w:r>
      </w:hyperlink>
    </w:p>
    <w:p w:rsidR="00537FB6" w:rsidRDefault="00537FB6" w:rsidP="00537FB6">
      <w:pPr>
        <w:spacing w:line="480" w:lineRule="auto"/>
      </w:pPr>
    </w:p>
    <w:p w:rsidR="00676448" w:rsidRDefault="00676448" w:rsidP="005F2B03">
      <w:pPr>
        <w:spacing w:line="480" w:lineRule="auto"/>
      </w:pPr>
    </w:p>
    <w:p w:rsidR="00676448" w:rsidRDefault="00676448" w:rsidP="005F2B03">
      <w:pPr>
        <w:spacing w:line="480" w:lineRule="auto"/>
      </w:pPr>
    </w:p>
    <w:p w:rsidR="00676448" w:rsidRPr="00B4577A" w:rsidRDefault="00676448" w:rsidP="005F2B03">
      <w:pPr>
        <w:spacing w:line="480" w:lineRule="auto"/>
        <w:rPr>
          <w:b/>
          <w:bCs/>
        </w:rPr>
      </w:pPr>
      <w:r>
        <w:rPr>
          <w:b/>
          <w:bCs/>
        </w:rPr>
        <w:br w:type="page"/>
      </w:r>
      <w:r w:rsidRPr="00B4577A">
        <w:rPr>
          <w:b/>
          <w:bCs/>
        </w:rPr>
        <w:lastRenderedPageBreak/>
        <w:t xml:space="preserve">Factors associated with reporting </w:t>
      </w:r>
      <w:r>
        <w:rPr>
          <w:b/>
          <w:bCs/>
        </w:rPr>
        <w:t>classic</w:t>
      </w:r>
      <w:r w:rsidRPr="00B4577A">
        <w:rPr>
          <w:b/>
          <w:bCs/>
        </w:rPr>
        <w:t xml:space="preserve"> menopausal symptoms differ-</w:t>
      </w:r>
      <w:r>
        <w:rPr>
          <w:b/>
          <w:bCs/>
        </w:rPr>
        <w:t xml:space="preserve"> evidence for not grouping hot flushes and night sweats as </w:t>
      </w:r>
      <w:r w:rsidRPr="00B4577A">
        <w:rPr>
          <w:b/>
          <w:bCs/>
        </w:rPr>
        <w:t>“vasomotor symptoms”.</w:t>
      </w:r>
    </w:p>
    <w:p w:rsidR="00537FB6" w:rsidRPr="00F25138" w:rsidRDefault="00537FB6" w:rsidP="00537FB6">
      <w:pPr>
        <w:spacing w:line="480" w:lineRule="auto"/>
        <w:rPr>
          <w:b/>
          <w:bCs/>
        </w:rPr>
      </w:pPr>
      <w:r>
        <w:t>O.K. Duffy, L. Iversen and P.C. Hannaford</w:t>
      </w:r>
    </w:p>
    <w:p w:rsidR="00537FB6" w:rsidRDefault="00537FB6" w:rsidP="00537FB6">
      <w:pPr>
        <w:spacing w:line="480" w:lineRule="auto"/>
        <w:rPr>
          <w:sz w:val="20"/>
          <w:szCs w:val="20"/>
        </w:rPr>
      </w:pPr>
      <w:r w:rsidRPr="001D6C0E">
        <w:rPr>
          <w:sz w:val="20"/>
          <w:szCs w:val="20"/>
        </w:rPr>
        <w:t>Primary Care</w:t>
      </w:r>
      <w:r>
        <w:rPr>
          <w:sz w:val="20"/>
          <w:szCs w:val="20"/>
        </w:rPr>
        <w:t>, Division of Applied Health Sciences</w:t>
      </w:r>
      <w:r w:rsidRPr="001D6C0E">
        <w:rPr>
          <w:sz w:val="20"/>
          <w:szCs w:val="20"/>
        </w:rPr>
        <w:t>, University of Aberdeen.</w:t>
      </w:r>
    </w:p>
    <w:p w:rsidR="00676448" w:rsidRDefault="00676448" w:rsidP="005F2B03">
      <w:pPr>
        <w:spacing w:line="480" w:lineRule="auto"/>
        <w:rPr>
          <w:sz w:val="20"/>
          <w:szCs w:val="20"/>
        </w:rPr>
      </w:pPr>
    </w:p>
    <w:p w:rsidR="00676448" w:rsidRPr="00C77FA2" w:rsidRDefault="00676448" w:rsidP="005F2B03">
      <w:pPr>
        <w:spacing w:line="480" w:lineRule="auto"/>
        <w:jc w:val="both"/>
        <w:rPr>
          <w:b/>
          <w:bCs/>
          <w:lang w:eastAsia="en-US"/>
        </w:rPr>
      </w:pPr>
      <w:r w:rsidRPr="00356CD4">
        <w:rPr>
          <w:b/>
          <w:bCs/>
        </w:rPr>
        <w:t>Objective</w:t>
      </w:r>
      <w:r>
        <w:t xml:space="preserve">: To investigate how symptoms experienced in midlife cluster and identify </w:t>
      </w:r>
      <w:r w:rsidRPr="0082144F">
        <w:t xml:space="preserve">factors </w:t>
      </w:r>
      <w:r>
        <w:t xml:space="preserve">independently </w:t>
      </w:r>
      <w:r w:rsidRPr="0082144F">
        <w:t>associated with</w:t>
      </w:r>
      <w:r>
        <w:t xml:space="preserve"> </w:t>
      </w:r>
      <w:r w:rsidRPr="00D36A9B">
        <w:rPr>
          <w:i/>
          <w:iCs/>
        </w:rPr>
        <w:t>hot flushes</w:t>
      </w:r>
      <w:r w:rsidRPr="0082144F">
        <w:t xml:space="preserve">, </w:t>
      </w:r>
      <w:r w:rsidRPr="00D36A9B">
        <w:rPr>
          <w:i/>
          <w:iCs/>
        </w:rPr>
        <w:t>night sweats</w:t>
      </w:r>
      <w:r w:rsidRPr="0082144F">
        <w:t xml:space="preserve">, and </w:t>
      </w:r>
      <w:r w:rsidRPr="00D36A9B">
        <w:rPr>
          <w:i/>
          <w:iCs/>
        </w:rPr>
        <w:t>vaginal dryness</w:t>
      </w:r>
      <w:r>
        <w:t>.</w:t>
      </w:r>
      <w:r w:rsidRPr="0082144F">
        <w:t xml:space="preserve"> </w:t>
      </w:r>
    </w:p>
    <w:p w:rsidR="00676448" w:rsidRDefault="00676448" w:rsidP="005F2B03">
      <w:pPr>
        <w:spacing w:line="480" w:lineRule="auto"/>
        <w:jc w:val="both"/>
      </w:pPr>
      <w:r w:rsidRPr="00356CD4">
        <w:rPr>
          <w:b/>
          <w:bCs/>
        </w:rPr>
        <w:t>Methods</w:t>
      </w:r>
      <w:r>
        <w:t>: A questionnaire was sent to 8,206 women aged 45-54 years,</w:t>
      </w:r>
      <w:r w:rsidRPr="001C028C">
        <w:t xml:space="preserve"> </w:t>
      </w:r>
      <w:r>
        <w:t>recruited from family practices in north east Scotland, UK. Using data collected about 23 symptoms we conducted factor analysis for</w:t>
      </w:r>
      <w:r w:rsidRPr="00C348D5">
        <w:t xml:space="preserve"> premenopausal</w:t>
      </w:r>
      <w:r>
        <w:t>,</w:t>
      </w:r>
      <w:r w:rsidRPr="00C348D5">
        <w:t xml:space="preserve"> </w:t>
      </w:r>
      <w:proofErr w:type="spellStart"/>
      <w:r w:rsidRPr="00C348D5">
        <w:t>perimenopausal</w:t>
      </w:r>
      <w:proofErr w:type="spellEnd"/>
      <w:r>
        <w:t>,</w:t>
      </w:r>
      <w:r w:rsidRPr="00C348D5">
        <w:t xml:space="preserve"> postmenopa</w:t>
      </w:r>
      <w:r>
        <w:t xml:space="preserve">usal and surgically menopausal women. Forward stepwise logistic regression was used to identify socio-demographic, lifestyle and psychological variables independently associated with the classic menopausal symptoms. </w:t>
      </w:r>
    </w:p>
    <w:p w:rsidR="00676448" w:rsidRDefault="00676448" w:rsidP="005F2B03">
      <w:pPr>
        <w:spacing w:line="480" w:lineRule="auto"/>
        <w:jc w:val="both"/>
      </w:pPr>
      <w:r w:rsidRPr="00356CD4">
        <w:rPr>
          <w:b/>
          <w:bCs/>
        </w:rPr>
        <w:t>Results</w:t>
      </w:r>
      <w:r>
        <w:t xml:space="preserve">: Overall, 4,407 women responded. </w:t>
      </w:r>
      <w:r w:rsidRPr="00D36A9B">
        <w:rPr>
          <w:i/>
          <w:iCs/>
        </w:rPr>
        <w:t>Hot flushes</w:t>
      </w:r>
      <w:r>
        <w:t xml:space="preserve"> were experienced by 46.7% (95% CI 45.2-48.2) of women,</w:t>
      </w:r>
      <w:r w:rsidRPr="00D36A9B">
        <w:rPr>
          <w:i/>
          <w:iCs/>
        </w:rPr>
        <w:t xml:space="preserve"> night sweats </w:t>
      </w:r>
      <w:r>
        <w:t xml:space="preserve">46.4% (44.9-47.9) and </w:t>
      </w:r>
      <w:r w:rsidRPr="00D36A9B">
        <w:rPr>
          <w:i/>
          <w:iCs/>
        </w:rPr>
        <w:t xml:space="preserve">vaginal dryness </w:t>
      </w:r>
      <w:r>
        <w:t>28.2% (26.9-29.6).</w:t>
      </w:r>
      <w:r w:rsidRPr="00983E70">
        <w:t xml:space="preserve"> </w:t>
      </w:r>
      <w:r>
        <w:t>Seven</w:t>
      </w:r>
      <w:r w:rsidRPr="00277CC4">
        <w:t xml:space="preserve"> factors</w:t>
      </w:r>
      <w:r>
        <w:t xml:space="preserve"> including 20 symptoms</w:t>
      </w:r>
      <w:r w:rsidRPr="00277CC4">
        <w:t xml:space="preserve"> emerged</w:t>
      </w:r>
      <w:r>
        <w:t xml:space="preserve"> from factor analysis</w:t>
      </w:r>
      <w:r w:rsidRPr="00277CC4">
        <w:t xml:space="preserve">. </w:t>
      </w:r>
      <w:r w:rsidRPr="00D36A9B">
        <w:rPr>
          <w:i/>
          <w:iCs/>
        </w:rPr>
        <w:t>Hot flushes</w:t>
      </w:r>
      <w:r>
        <w:t xml:space="preserve"> were associated with: being </w:t>
      </w:r>
      <w:proofErr w:type="spellStart"/>
      <w:r>
        <w:t>perimenopausal</w:t>
      </w:r>
      <w:proofErr w:type="spellEnd"/>
      <w:r>
        <w:t xml:space="preserve"> or postmenopausal; low education; obesity; low social support; reporting</w:t>
      </w:r>
      <w:r w:rsidRPr="00EA7EB0">
        <w:t xml:space="preserve"> </w:t>
      </w:r>
      <w:r>
        <w:t xml:space="preserve">night sweats, </w:t>
      </w:r>
      <w:proofErr w:type="spellStart"/>
      <w:r>
        <w:t>musculo</w:t>
      </w:r>
      <w:proofErr w:type="spellEnd"/>
      <w:r>
        <w:t xml:space="preserve">-skeletal, bloating, menstrual and sexual symptoms; using complementary alternative medicines, lifestyle (e.g. exercising) or psychological management strategies (e.g. talking to family or friends) for menopausal symptoms. </w:t>
      </w:r>
      <w:r w:rsidRPr="00D36A9B">
        <w:rPr>
          <w:i/>
          <w:iCs/>
        </w:rPr>
        <w:t>Night sweats</w:t>
      </w:r>
      <w:r>
        <w:t xml:space="preserve"> were associated with: lower body weight; smoking; possible depression; reporting sleep difficulties, </w:t>
      </w:r>
      <w:r w:rsidRPr="00D36A9B">
        <w:t>hot flushes</w:t>
      </w:r>
      <w:r>
        <w:t xml:space="preserve"> and sexual symptoms; using lifestyle strategies for menopausal symptoms. </w:t>
      </w:r>
      <w:r w:rsidRPr="00D36A9B">
        <w:rPr>
          <w:i/>
          <w:iCs/>
        </w:rPr>
        <w:t>Vaginal dryness</w:t>
      </w:r>
      <w:r>
        <w:t xml:space="preserve"> was associated with: being postmenopausal; high education; high social support; below average physical health, reporting </w:t>
      </w:r>
      <w:r w:rsidRPr="00D36A9B">
        <w:t>hot flushes</w:t>
      </w:r>
      <w:r>
        <w:t>, somatic symptoms and decreased sexual interest; using psychological or lifestyle strategies for menopausal symptoms.</w:t>
      </w:r>
    </w:p>
    <w:p w:rsidR="00676448" w:rsidRDefault="00676448" w:rsidP="005F2B03">
      <w:pPr>
        <w:autoSpaceDE w:val="0"/>
        <w:autoSpaceDN w:val="0"/>
        <w:adjustRightInd w:val="0"/>
        <w:spacing w:line="480" w:lineRule="auto"/>
        <w:jc w:val="both"/>
      </w:pPr>
      <w:r w:rsidRPr="00356CD4">
        <w:rPr>
          <w:b/>
          <w:bCs/>
        </w:rPr>
        <w:lastRenderedPageBreak/>
        <w:t>Conclusion</w:t>
      </w:r>
      <w:r>
        <w:t xml:space="preserve">: It is important to investigate each classic menopausal symptom separately. Combining menopausal symptoms into categories such as vasomotor symptoms may lead to inaccurate conclusions about variables associated with these symptoms. </w:t>
      </w:r>
    </w:p>
    <w:p w:rsidR="00676448" w:rsidRDefault="00676448" w:rsidP="005F2B03">
      <w:pPr>
        <w:autoSpaceDE w:val="0"/>
        <w:autoSpaceDN w:val="0"/>
        <w:adjustRightInd w:val="0"/>
        <w:spacing w:line="480" w:lineRule="auto"/>
      </w:pPr>
    </w:p>
    <w:p w:rsidR="00676448" w:rsidRDefault="00676448" w:rsidP="005F2B03">
      <w:pPr>
        <w:autoSpaceDE w:val="0"/>
        <w:autoSpaceDN w:val="0"/>
        <w:adjustRightInd w:val="0"/>
        <w:spacing w:line="480" w:lineRule="auto"/>
      </w:pPr>
      <w:r w:rsidRPr="00356CD4">
        <w:rPr>
          <w:b/>
          <w:bCs/>
        </w:rPr>
        <w:t>Key words</w:t>
      </w:r>
      <w:r>
        <w:t xml:space="preserve">: Community, menopause, </w:t>
      </w:r>
      <w:r w:rsidRPr="00D36A9B">
        <w:t>hot flushes,</w:t>
      </w:r>
      <w:r>
        <w:t xml:space="preserve"> night sweats, vaginal dryness</w:t>
      </w:r>
    </w:p>
    <w:p w:rsidR="00676448" w:rsidRPr="00EA0308" w:rsidRDefault="00676448" w:rsidP="005F2B03">
      <w:pPr>
        <w:autoSpaceDE w:val="0"/>
        <w:autoSpaceDN w:val="0"/>
        <w:adjustRightInd w:val="0"/>
        <w:spacing w:line="480" w:lineRule="auto"/>
        <w:rPr>
          <w:b/>
          <w:bCs/>
        </w:rPr>
      </w:pPr>
      <w:r>
        <w:br w:type="page"/>
      </w:r>
      <w:r w:rsidRPr="00EA0308">
        <w:rPr>
          <w:b/>
          <w:bCs/>
        </w:rPr>
        <w:lastRenderedPageBreak/>
        <w:t>Introduction</w:t>
      </w:r>
    </w:p>
    <w:p w:rsidR="00676448" w:rsidRDefault="00676448" w:rsidP="005F2B03">
      <w:pPr>
        <w:spacing w:line="480" w:lineRule="auto"/>
        <w:jc w:val="both"/>
      </w:pPr>
      <w:r>
        <w:t xml:space="preserve">A number of physical, psychological </w:t>
      </w:r>
      <w:r w:rsidRPr="000C601B">
        <w:t xml:space="preserve">and somatic </w:t>
      </w:r>
      <w:r>
        <w:t xml:space="preserve">symptoms are experienced by women at midlife and </w:t>
      </w:r>
      <w:r w:rsidRPr="000C601B">
        <w:t>attributed to the menopaus</w:t>
      </w:r>
      <w:r>
        <w:t>e</w:t>
      </w:r>
      <w:r w:rsidRPr="00627CC3">
        <w:rPr>
          <w:vertAlign w:val="superscript"/>
        </w:rPr>
        <w:t>1</w:t>
      </w:r>
      <w:r w:rsidRPr="000C601B">
        <w:t xml:space="preserve">. </w:t>
      </w:r>
      <w:r>
        <w:t>There is m</w:t>
      </w:r>
      <w:r w:rsidRPr="000C601B">
        <w:t>uch debate as to which symptoms are related to declining levels of oestrogen, and therefore are</w:t>
      </w:r>
      <w:r>
        <w:t xml:space="preserve"> directly</w:t>
      </w:r>
      <w:r w:rsidRPr="000C601B">
        <w:t xml:space="preserve"> associated with the menopause, and which symptoms occur as a result of the aging process or </w:t>
      </w:r>
      <w:r>
        <w:t xml:space="preserve">secondary to </w:t>
      </w:r>
      <w:r w:rsidRPr="00D36A9B">
        <w:rPr>
          <w:i/>
          <w:iCs/>
        </w:rPr>
        <w:t>hot flushes</w:t>
      </w:r>
      <w:r>
        <w:t xml:space="preserve"> or </w:t>
      </w:r>
      <w:r w:rsidRPr="00174F70">
        <w:rPr>
          <w:i/>
          <w:iCs/>
        </w:rPr>
        <w:t>night sweats</w:t>
      </w:r>
      <w:r w:rsidRPr="00627CC3">
        <w:rPr>
          <w:vertAlign w:val="superscript"/>
        </w:rPr>
        <w:t>2</w:t>
      </w:r>
      <w:r>
        <w:rPr>
          <w:vertAlign w:val="superscript"/>
        </w:rPr>
        <w:t>-3</w:t>
      </w:r>
      <w:r w:rsidRPr="000C601B">
        <w:t>.</w:t>
      </w:r>
      <w:r>
        <w:t xml:space="preserve"> Generally, </w:t>
      </w:r>
      <w:r w:rsidRPr="00D36A9B">
        <w:rPr>
          <w:i/>
          <w:iCs/>
        </w:rPr>
        <w:t>hot flushes</w:t>
      </w:r>
      <w:r w:rsidRPr="00123063">
        <w:t xml:space="preserve">, </w:t>
      </w:r>
      <w:r w:rsidRPr="00174F70">
        <w:rPr>
          <w:i/>
          <w:iCs/>
        </w:rPr>
        <w:t>night sweats</w:t>
      </w:r>
      <w:r w:rsidRPr="00123063">
        <w:t xml:space="preserve"> and, to a lesser extent, </w:t>
      </w:r>
      <w:r w:rsidRPr="00D36A9B">
        <w:rPr>
          <w:i/>
          <w:iCs/>
        </w:rPr>
        <w:t>vaginal dryness</w:t>
      </w:r>
      <w:r w:rsidRPr="000C601B">
        <w:t xml:space="preserve"> </w:t>
      </w:r>
      <w:proofErr w:type="gramStart"/>
      <w:r>
        <w:t>are</w:t>
      </w:r>
      <w:proofErr w:type="gramEnd"/>
      <w:r>
        <w:t xml:space="preserve"> </w:t>
      </w:r>
      <w:r w:rsidRPr="000C601B">
        <w:t>attributed to the menopausal transition and thus</w:t>
      </w:r>
      <w:r>
        <w:t xml:space="preserve"> can be considered the classic menopausal symptoms </w:t>
      </w:r>
      <w:r w:rsidRPr="00627CC3">
        <w:rPr>
          <w:vertAlign w:val="superscript"/>
        </w:rPr>
        <w:t>1</w:t>
      </w:r>
      <w:r>
        <w:rPr>
          <w:vertAlign w:val="superscript"/>
        </w:rPr>
        <w:t>-5</w:t>
      </w:r>
      <w:r>
        <w:t>.</w:t>
      </w:r>
    </w:p>
    <w:p w:rsidR="00676448" w:rsidRDefault="00676448" w:rsidP="005F2B03">
      <w:pPr>
        <w:spacing w:line="480" w:lineRule="auto"/>
        <w:jc w:val="both"/>
      </w:pPr>
    </w:p>
    <w:p w:rsidR="00676448" w:rsidRDefault="00676448" w:rsidP="005F2B03">
      <w:pPr>
        <w:spacing w:line="480" w:lineRule="auto"/>
        <w:jc w:val="both"/>
      </w:pPr>
      <w:r w:rsidRPr="000C601B">
        <w:t xml:space="preserve">Women will experience symptoms differently depending on </w:t>
      </w:r>
      <w:r>
        <w:t xml:space="preserve">socio-demographic, lifestyle, </w:t>
      </w:r>
      <w:r w:rsidRPr="000C601B">
        <w:t xml:space="preserve">and psychological factors. </w:t>
      </w:r>
      <w:r>
        <w:t xml:space="preserve">Evidence from previous research </w:t>
      </w:r>
      <w:r w:rsidRPr="000C601B">
        <w:t>support</w:t>
      </w:r>
      <w:r>
        <w:t>s</w:t>
      </w:r>
      <w:r w:rsidRPr="000C601B">
        <w:t xml:space="preserve"> the existence of a significant</w:t>
      </w:r>
      <w:r>
        <w:t xml:space="preserve"> association between socio-economic status</w:t>
      </w:r>
      <w:r>
        <w:rPr>
          <w:vertAlign w:val="superscript"/>
        </w:rPr>
        <w:t>6-8</w:t>
      </w:r>
      <w:r w:rsidRPr="000C601B">
        <w:t>, employment</w:t>
      </w:r>
      <w:r>
        <w:rPr>
          <w:vertAlign w:val="superscript"/>
        </w:rPr>
        <w:t>9-11</w:t>
      </w:r>
      <w:r w:rsidRPr="000C601B">
        <w:t xml:space="preserve">, </w:t>
      </w:r>
      <w:r>
        <w:t>body mass index (BMI)</w:t>
      </w:r>
      <w:r>
        <w:rPr>
          <w:vertAlign w:val="superscript"/>
        </w:rPr>
        <w:t>6,8,12-13</w:t>
      </w:r>
      <w:r>
        <w:t>,</w:t>
      </w:r>
      <w:r w:rsidRPr="000C601B">
        <w:t xml:space="preserve"> exercise</w:t>
      </w:r>
      <w:r>
        <w:t xml:space="preserve"> </w:t>
      </w:r>
      <w:r>
        <w:rPr>
          <w:vertAlign w:val="superscript"/>
        </w:rPr>
        <w:t>8,10-11</w:t>
      </w:r>
      <w:r>
        <w:t>,</w:t>
      </w:r>
      <w:r w:rsidRPr="000C601B">
        <w:t xml:space="preserve"> smoking</w:t>
      </w:r>
      <w:r>
        <w:rPr>
          <w:vertAlign w:val="superscript"/>
        </w:rPr>
        <w:t>8,</w:t>
      </w:r>
      <w:r w:rsidRPr="000B6CF5">
        <w:rPr>
          <w:vertAlign w:val="superscript"/>
        </w:rPr>
        <w:t>1</w:t>
      </w:r>
      <w:r>
        <w:rPr>
          <w:vertAlign w:val="superscript"/>
        </w:rPr>
        <w:t>0-11,14</w:t>
      </w:r>
      <w:r w:rsidRPr="000C601B">
        <w:t>, history of</w:t>
      </w:r>
      <w:r>
        <w:t xml:space="preserve"> hysterectomy and/or oophorectomy</w:t>
      </w:r>
      <w:r>
        <w:rPr>
          <w:vertAlign w:val="superscript"/>
        </w:rPr>
        <w:t>11,15-16</w:t>
      </w:r>
      <w:r>
        <w:t>, health related quality of life (HRQOL)</w:t>
      </w:r>
      <w:r w:rsidRPr="00633427">
        <w:rPr>
          <w:vertAlign w:val="superscript"/>
        </w:rPr>
        <w:t xml:space="preserve"> </w:t>
      </w:r>
      <w:r>
        <w:rPr>
          <w:vertAlign w:val="superscript"/>
        </w:rPr>
        <w:t>6,17-18</w:t>
      </w:r>
      <w:r>
        <w:t xml:space="preserve"> and reporting of classic</w:t>
      </w:r>
      <w:r w:rsidRPr="000C601B">
        <w:t xml:space="preserve"> menopausal symptoms. </w:t>
      </w:r>
    </w:p>
    <w:p w:rsidR="00676448" w:rsidRDefault="00676448" w:rsidP="005F2B03">
      <w:pPr>
        <w:spacing w:line="480" w:lineRule="auto"/>
        <w:jc w:val="both"/>
      </w:pPr>
    </w:p>
    <w:p w:rsidR="00676448" w:rsidRDefault="00676448" w:rsidP="005F2B03">
      <w:pPr>
        <w:spacing w:line="480" w:lineRule="auto"/>
        <w:jc w:val="both"/>
      </w:pPr>
      <w:r w:rsidRPr="000C601B">
        <w:t>Evidence for a</w:t>
      </w:r>
      <w:r>
        <w:t xml:space="preserve"> relationship </w:t>
      </w:r>
      <w:r w:rsidRPr="000C601B">
        <w:t>between alcohol consumption</w:t>
      </w:r>
      <w:r>
        <w:t>, educational attainment</w:t>
      </w:r>
      <w:r w:rsidRPr="000C601B">
        <w:t xml:space="preserve"> and </w:t>
      </w:r>
      <w:r>
        <w:t xml:space="preserve">the classic </w:t>
      </w:r>
      <w:r w:rsidRPr="000C601B">
        <w:t>menopa</w:t>
      </w:r>
      <w:r>
        <w:t xml:space="preserve">usal symptoms does not appear to be as strong. Some studies show that alcohol is associated with an increased risk of </w:t>
      </w:r>
      <w:r w:rsidRPr="006F3809">
        <w:rPr>
          <w:i/>
          <w:iCs/>
        </w:rPr>
        <w:t>hot flushes</w:t>
      </w:r>
      <w:r>
        <w:t xml:space="preserve"> and/or </w:t>
      </w:r>
      <w:r w:rsidRPr="006F3809">
        <w:rPr>
          <w:i/>
          <w:iCs/>
        </w:rPr>
        <w:t>night sweats</w:t>
      </w:r>
      <w:r w:rsidRPr="00FA4C26">
        <w:rPr>
          <w:vertAlign w:val="superscript"/>
        </w:rPr>
        <w:t>1</w:t>
      </w:r>
      <w:r>
        <w:rPr>
          <w:vertAlign w:val="superscript"/>
        </w:rPr>
        <w:t>1, 19-20</w:t>
      </w:r>
      <w:r>
        <w:t>, others a decreased risk</w:t>
      </w:r>
      <w:r w:rsidRPr="00FA4C26">
        <w:rPr>
          <w:vertAlign w:val="superscript"/>
        </w:rPr>
        <w:t>1</w:t>
      </w:r>
      <w:r>
        <w:rPr>
          <w:vertAlign w:val="superscript"/>
        </w:rPr>
        <w:t>3,</w:t>
      </w:r>
      <w:r w:rsidRPr="00FA4C26">
        <w:rPr>
          <w:vertAlign w:val="superscript"/>
        </w:rPr>
        <w:t xml:space="preserve"> 21</w:t>
      </w:r>
      <w:r>
        <w:t>, and others have found no association with the classic menopausal symptoms</w:t>
      </w:r>
      <w:r w:rsidRPr="00FA4C26">
        <w:rPr>
          <w:vertAlign w:val="superscript"/>
        </w:rPr>
        <w:t>2</w:t>
      </w:r>
      <w:r>
        <w:rPr>
          <w:vertAlign w:val="superscript"/>
        </w:rPr>
        <w:t>2-</w:t>
      </w:r>
      <w:r w:rsidRPr="00FA4C26">
        <w:rPr>
          <w:vertAlign w:val="superscript"/>
        </w:rPr>
        <w:t>2</w:t>
      </w:r>
      <w:r>
        <w:rPr>
          <w:vertAlign w:val="superscript"/>
        </w:rPr>
        <w:t>3</w:t>
      </w:r>
      <w:r>
        <w:t xml:space="preserve">. Similarly, some studies have found that lower levels of educational attainment are associated with an increased risk of </w:t>
      </w:r>
      <w:r w:rsidRPr="006F3809">
        <w:rPr>
          <w:i/>
          <w:iCs/>
        </w:rPr>
        <w:t>hot flushes</w:t>
      </w:r>
      <w:r>
        <w:t xml:space="preserve"> and </w:t>
      </w:r>
      <w:r w:rsidRPr="006F3809">
        <w:rPr>
          <w:i/>
          <w:iCs/>
        </w:rPr>
        <w:t>night sweats</w:t>
      </w:r>
      <w:r>
        <w:rPr>
          <w:vertAlign w:val="superscript"/>
        </w:rPr>
        <w:t>7</w:t>
      </w:r>
      <w:proofErr w:type="gramStart"/>
      <w:r>
        <w:rPr>
          <w:vertAlign w:val="superscript"/>
        </w:rPr>
        <w:t>,</w:t>
      </w:r>
      <w:r w:rsidRPr="00FA4C26">
        <w:rPr>
          <w:vertAlign w:val="superscript"/>
        </w:rPr>
        <w:t>1</w:t>
      </w:r>
      <w:r>
        <w:rPr>
          <w:vertAlign w:val="superscript"/>
        </w:rPr>
        <w:t>1</w:t>
      </w:r>
      <w:proofErr w:type="gramEnd"/>
      <w:r>
        <w:t>, whereas others have found no significant associations with the classic menopausal symptoms</w:t>
      </w:r>
      <w:r>
        <w:rPr>
          <w:vertAlign w:val="superscript"/>
        </w:rPr>
        <w:t xml:space="preserve">9, </w:t>
      </w:r>
      <w:r w:rsidRPr="00FA4C26">
        <w:rPr>
          <w:vertAlign w:val="superscript"/>
        </w:rPr>
        <w:t>2</w:t>
      </w:r>
      <w:r>
        <w:rPr>
          <w:vertAlign w:val="superscript"/>
        </w:rPr>
        <w:t>2-</w:t>
      </w:r>
      <w:r w:rsidRPr="00FA4C26">
        <w:rPr>
          <w:vertAlign w:val="superscript"/>
        </w:rPr>
        <w:t>2</w:t>
      </w:r>
      <w:r>
        <w:rPr>
          <w:vertAlign w:val="superscript"/>
        </w:rPr>
        <w:t>3</w:t>
      </w:r>
      <w:r>
        <w:t xml:space="preserve">. </w:t>
      </w:r>
    </w:p>
    <w:p w:rsidR="00676448" w:rsidRDefault="00676448" w:rsidP="005F2B03">
      <w:pPr>
        <w:spacing w:line="480" w:lineRule="auto"/>
        <w:jc w:val="both"/>
      </w:pPr>
    </w:p>
    <w:p w:rsidR="00676448" w:rsidRPr="000C601B" w:rsidRDefault="00676448" w:rsidP="005F2B03">
      <w:pPr>
        <w:spacing w:line="480" w:lineRule="auto"/>
        <w:jc w:val="both"/>
      </w:pPr>
      <w:r>
        <w:lastRenderedPageBreak/>
        <w:t>Some studies have suggested a link between the reporting of classic menopausal symptoms and marital status</w:t>
      </w:r>
      <w:r w:rsidRPr="000C601B">
        <w:t xml:space="preserve">, </w:t>
      </w:r>
      <w:r>
        <w:t>past medical history</w:t>
      </w:r>
      <w:r w:rsidRPr="000C601B">
        <w:t xml:space="preserve">, </w:t>
      </w:r>
      <w:r>
        <w:t>self-rated</w:t>
      </w:r>
      <w:r w:rsidRPr="000C601B">
        <w:t xml:space="preserve"> health, attitudes</w:t>
      </w:r>
      <w:r>
        <w:t xml:space="preserve"> to menopause, social support and </w:t>
      </w:r>
      <w:r w:rsidRPr="000C601B">
        <w:t>illness perceptions</w:t>
      </w:r>
      <w:r>
        <w:t xml:space="preserve"> although the number of such studies is small</w:t>
      </w:r>
      <w:r>
        <w:rPr>
          <w:vertAlign w:val="superscript"/>
        </w:rPr>
        <w:t>6-8,11,19-20, 23-27</w:t>
      </w:r>
      <w:r>
        <w:t xml:space="preserve">. These relationships should be considered when studying the menopause as they may be important determinants in modulating symptom experience </w:t>
      </w:r>
      <w:r w:rsidRPr="00BD27B2">
        <w:rPr>
          <w:vertAlign w:val="superscript"/>
        </w:rPr>
        <w:t>1</w:t>
      </w:r>
      <w:r>
        <w:rPr>
          <w:vertAlign w:val="superscript"/>
        </w:rPr>
        <w:t xml:space="preserve">1, </w:t>
      </w:r>
      <w:r w:rsidRPr="00BD27B2">
        <w:rPr>
          <w:vertAlign w:val="superscript"/>
        </w:rPr>
        <w:t>1</w:t>
      </w:r>
      <w:r>
        <w:rPr>
          <w:vertAlign w:val="superscript"/>
        </w:rPr>
        <w:t>4</w:t>
      </w:r>
      <w:r>
        <w:t xml:space="preserve">. </w:t>
      </w:r>
    </w:p>
    <w:p w:rsidR="00676448" w:rsidRDefault="00676448" w:rsidP="005F2B03">
      <w:pPr>
        <w:spacing w:line="480" w:lineRule="auto"/>
        <w:jc w:val="both"/>
      </w:pPr>
    </w:p>
    <w:p w:rsidR="00676448" w:rsidRDefault="00676448" w:rsidP="005F2B03">
      <w:pPr>
        <w:spacing w:line="480" w:lineRule="auto"/>
        <w:jc w:val="both"/>
      </w:pPr>
      <w:r>
        <w:t>Adding to the complexity of research investigating factors associated with menopausal symptoms is the differing terminology used by investigators. V</w:t>
      </w:r>
      <w:r w:rsidR="009B2AAD">
        <w:t>asomotor symptoms</w:t>
      </w:r>
      <w:r w:rsidRPr="00123063">
        <w:t xml:space="preserve">, </w:t>
      </w:r>
      <w:r w:rsidRPr="005306C5">
        <w:t>climacteric symptoms, hot flushes, hot flashes and night sweats</w:t>
      </w:r>
      <w:r w:rsidRPr="000C601B">
        <w:t xml:space="preserve"> have been used</w:t>
      </w:r>
      <w:r>
        <w:t>,</w:t>
      </w:r>
      <w:r w:rsidRPr="000C601B">
        <w:t xml:space="preserve"> sometimes interchangeably</w:t>
      </w:r>
      <w:r>
        <w:t>,</w:t>
      </w:r>
      <w:r w:rsidRPr="000C601B">
        <w:t xml:space="preserve"> to describe symptoms</w:t>
      </w:r>
      <w:r>
        <w:t xml:space="preserve"> experienced by women during the menopause transition</w:t>
      </w:r>
      <w:r w:rsidRPr="000C601B">
        <w:t xml:space="preserve">, although </w:t>
      </w:r>
      <w:r>
        <w:t xml:space="preserve">the </w:t>
      </w:r>
      <w:r w:rsidRPr="000C601B">
        <w:t>descriptors for th</w:t>
      </w:r>
      <w:r>
        <w:t>e terms can differ</w:t>
      </w:r>
      <w:r w:rsidRPr="00BD27B2">
        <w:rPr>
          <w:vertAlign w:val="superscript"/>
        </w:rPr>
        <w:t>2</w:t>
      </w:r>
      <w:r>
        <w:rPr>
          <w:vertAlign w:val="superscript"/>
        </w:rPr>
        <w:t>8-29</w:t>
      </w:r>
      <w:r w:rsidRPr="000C601B">
        <w:t xml:space="preserve">. For example, the term </w:t>
      </w:r>
      <w:r w:rsidRPr="007907BA">
        <w:t>vasomotor symptom</w:t>
      </w:r>
      <w:r w:rsidRPr="000C601B">
        <w:t xml:space="preserve"> is most frequently used to encompass </w:t>
      </w:r>
      <w:r w:rsidRPr="00D36A9B">
        <w:rPr>
          <w:i/>
          <w:iCs/>
        </w:rPr>
        <w:t>hot flushes</w:t>
      </w:r>
      <w:r w:rsidRPr="00123063">
        <w:t xml:space="preserve"> and </w:t>
      </w:r>
      <w:r w:rsidRPr="00174F70">
        <w:rPr>
          <w:i/>
          <w:iCs/>
        </w:rPr>
        <w:t>night sweats</w:t>
      </w:r>
      <w:r w:rsidRPr="00BD27B2">
        <w:rPr>
          <w:vertAlign w:val="superscript"/>
        </w:rPr>
        <w:t>3</w:t>
      </w:r>
      <w:r>
        <w:rPr>
          <w:vertAlign w:val="superscript"/>
        </w:rPr>
        <w:t>0-35</w:t>
      </w:r>
      <w:r w:rsidRPr="000C601B">
        <w:t xml:space="preserve">. </w:t>
      </w:r>
      <w:r>
        <w:t>However, s</w:t>
      </w:r>
      <w:r w:rsidRPr="000C601B">
        <w:t xml:space="preserve">ome studies </w:t>
      </w:r>
      <w:r>
        <w:t xml:space="preserve">have </w:t>
      </w:r>
      <w:r w:rsidRPr="000C601B">
        <w:t>include</w:t>
      </w:r>
      <w:r>
        <w:t>d</w:t>
      </w:r>
      <w:r w:rsidRPr="000C601B">
        <w:t xml:space="preserve"> </w:t>
      </w:r>
      <w:r w:rsidRPr="00B75574">
        <w:rPr>
          <w:i/>
          <w:iCs/>
        </w:rPr>
        <w:t>sleep disturbance</w:t>
      </w:r>
      <w:r>
        <w:t xml:space="preserve"> in this term</w:t>
      </w:r>
      <w:r w:rsidRPr="00741D70">
        <w:rPr>
          <w:vertAlign w:val="superscript"/>
        </w:rPr>
        <w:t>3</w:t>
      </w:r>
      <w:r>
        <w:rPr>
          <w:vertAlign w:val="superscript"/>
        </w:rPr>
        <w:t>6-</w:t>
      </w:r>
      <w:r w:rsidRPr="00741D70">
        <w:rPr>
          <w:vertAlign w:val="superscript"/>
        </w:rPr>
        <w:t>3</w:t>
      </w:r>
      <w:r>
        <w:rPr>
          <w:vertAlign w:val="superscript"/>
        </w:rPr>
        <w:t>7</w:t>
      </w:r>
      <w:r w:rsidRPr="000C601B">
        <w:t>.</w:t>
      </w:r>
      <w:r>
        <w:t xml:space="preserve"> It also can be difficult to establish which factors are associated with individual classic symptoms, as many studies have combined </w:t>
      </w:r>
      <w:r w:rsidRPr="00D36A9B">
        <w:rPr>
          <w:i/>
          <w:iCs/>
        </w:rPr>
        <w:t>hot flushes</w:t>
      </w:r>
      <w:r>
        <w:t xml:space="preserve"> and </w:t>
      </w:r>
      <w:r w:rsidRPr="00174F70">
        <w:rPr>
          <w:i/>
          <w:iCs/>
        </w:rPr>
        <w:t>night sweats</w:t>
      </w:r>
      <w:r>
        <w:rPr>
          <w:vertAlign w:val="superscript"/>
        </w:rPr>
        <w:t>6-7</w:t>
      </w:r>
      <w:r>
        <w:t xml:space="preserve">. Combining </w:t>
      </w:r>
      <w:r w:rsidRPr="00D36A9B">
        <w:rPr>
          <w:i/>
          <w:iCs/>
        </w:rPr>
        <w:t>hot flushes</w:t>
      </w:r>
      <w:r>
        <w:t xml:space="preserve"> and </w:t>
      </w:r>
      <w:r w:rsidRPr="00174F70">
        <w:rPr>
          <w:i/>
          <w:iCs/>
        </w:rPr>
        <w:t>night sweats</w:t>
      </w:r>
      <w:r>
        <w:t xml:space="preserve"> into a single category during analysis may lose some of the richness of the data as associations between socio-demographic, lifestyle and </w:t>
      </w:r>
      <w:r w:rsidRPr="000C601B">
        <w:t>psychological factors</w:t>
      </w:r>
      <w:r>
        <w:t xml:space="preserve">, and individual symptoms may differ </w:t>
      </w:r>
      <w:r w:rsidRPr="00741D70">
        <w:rPr>
          <w:vertAlign w:val="superscript"/>
        </w:rPr>
        <w:t>2</w:t>
      </w:r>
      <w:r>
        <w:rPr>
          <w:vertAlign w:val="superscript"/>
        </w:rPr>
        <w:t xml:space="preserve">0, </w:t>
      </w:r>
      <w:r w:rsidRPr="00741D70">
        <w:rPr>
          <w:vertAlign w:val="superscript"/>
        </w:rPr>
        <w:t>3</w:t>
      </w:r>
      <w:r>
        <w:rPr>
          <w:vertAlign w:val="superscript"/>
        </w:rPr>
        <w:t>8</w:t>
      </w:r>
      <w:r>
        <w:t xml:space="preserve">. </w:t>
      </w:r>
    </w:p>
    <w:p w:rsidR="00676448" w:rsidRDefault="00676448" w:rsidP="005F2B03">
      <w:pPr>
        <w:spacing w:line="480" w:lineRule="auto"/>
        <w:jc w:val="both"/>
      </w:pPr>
    </w:p>
    <w:p w:rsidR="00676448" w:rsidRDefault="00676448" w:rsidP="005F2B03">
      <w:pPr>
        <w:spacing w:line="480" w:lineRule="auto"/>
        <w:jc w:val="both"/>
      </w:pPr>
      <w:r>
        <w:t xml:space="preserve">Using data collected from 4407 women participating in a cross-sectional community-based survey, we initially investigated how symptoms commonly experienced in midlife cluster. We then determined what socio-demographic, lifestyle </w:t>
      </w:r>
      <w:r w:rsidRPr="000C601B">
        <w:t>and psychological factors</w:t>
      </w:r>
      <w:r>
        <w:t xml:space="preserve"> were independently associated with reporting </w:t>
      </w:r>
      <w:r w:rsidRPr="00D36A9B">
        <w:rPr>
          <w:i/>
          <w:iCs/>
        </w:rPr>
        <w:t>hot flushes</w:t>
      </w:r>
      <w:r>
        <w:t xml:space="preserve">, </w:t>
      </w:r>
      <w:r w:rsidRPr="00174F70">
        <w:rPr>
          <w:i/>
          <w:iCs/>
        </w:rPr>
        <w:t>night sweats</w:t>
      </w:r>
      <w:r>
        <w:t xml:space="preserve"> and </w:t>
      </w:r>
      <w:r w:rsidRPr="00D36A9B">
        <w:rPr>
          <w:i/>
          <w:iCs/>
        </w:rPr>
        <w:t>vaginal dryness</w:t>
      </w:r>
      <w:r>
        <w:rPr>
          <w:i/>
          <w:iCs/>
        </w:rPr>
        <w:t xml:space="preserve">, </w:t>
      </w:r>
      <w:r w:rsidRPr="006F3809">
        <w:t>after allowing for</w:t>
      </w:r>
      <w:r>
        <w:rPr>
          <w:i/>
          <w:iCs/>
        </w:rPr>
        <w:t xml:space="preserve"> </w:t>
      </w:r>
      <w:r>
        <w:t>symptom clustering.</w:t>
      </w:r>
    </w:p>
    <w:p w:rsidR="00676448" w:rsidRPr="00B33A86" w:rsidRDefault="00676448" w:rsidP="005F2B03">
      <w:pPr>
        <w:spacing w:line="480" w:lineRule="auto"/>
        <w:jc w:val="both"/>
      </w:pPr>
      <w:r>
        <w:rPr>
          <w:b/>
          <w:bCs/>
        </w:rPr>
        <w:br w:type="page"/>
      </w:r>
      <w:r w:rsidRPr="00EA0308">
        <w:rPr>
          <w:b/>
          <w:bCs/>
        </w:rPr>
        <w:lastRenderedPageBreak/>
        <w:t>Methods</w:t>
      </w:r>
    </w:p>
    <w:p w:rsidR="00676448" w:rsidRDefault="00676448" w:rsidP="005F2B03">
      <w:pPr>
        <w:spacing w:line="480" w:lineRule="auto"/>
        <w:jc w:val="both"/>
      </w:pPr>
      <w:r>
        <w:t xml:space="preserve">In 2009, 16 general (family) practices across north east Scotland randomly sampled just over 500 (to allow for exclusions) women aged 45 to 54 years from their list of registered patients. A general practitioner (GP) in each practice was asked to remove any women they felt it would be inappropriate to contact. </w:t>
      </w:r>
      <w:r w:rsidR="008F5C56">
        <w:t xml:space="preserve">The GPs excluded a total of 93 women for reasons unrelated to menopause. </w:t>
      </w:r>
      <w:r>
        <w:t>A study pack containing an invitation letter signed by the GP, information sheet, consent form, self-completion questionnaire entitled “Women’s Health in Midlife”, and a postage prepaid envelope, was sent to 8,206 eligible women between July and October 2009. Non-respondents were sent an identical study pack three weeks after the initial mailing. The age and socio-economic status (as determined by the Scottish Index of Multiple Deprivation: SIMD</w:t>
      </w:r>
      <w:r>
        <w:rPr>
          <w:vertAlign w:val="superscript"/>
        </w:rPr>
        <w:t>39</w:t>
      </w:r>
      <w:r>
        <w:t>) of all eligible women were obtained from the practice lists to allow comparison of respondents versus non-respondents. Ethical approval for the study was granted from the East of Scotland Research Ethics Service (reference 08-S1401-129).</w:t>
      </w:r>
    </w:p>
    <w:p w:rsidR="00676448" w:rsidRDefault="00676448" w:rsidP="005F2B03">
      <w:pPr>
        <w:spacing w:line="480" w:lineRule="auto"/>
        <w:jc w:val="both"/>
      </w:pPr>
    </w:p>
    <w:p w:rsidR="00676448" w:rsidRDefault="00676448" w:rsidP="005F2B03">
      <w:pPr>
        <w:spacing w:line="480" w:lineRule="auto"/>
        <w:jc w:val="both"/>
      </w:pPr>
      <w:r>
        <w:t>The questionnaire collected data about age, marital status, educational level, employment status, current height and weight (to allow calculation of BMI), menopausal status, previous hysterectomy and/or ovarian surgery, and other significant medical history. Other items were: a six item version of the Multidimensional Scale of Perceived Social Support (MSPSS)</w:t>
      </w:r>
      <w:r w:rsidRPr="00741D70">
        <w:rPr>
          <w:vertAlign w:val="superscript"/>
        </w:rPr>
        <w:t>4</w:t>
      </w:r>
      <w:r>
        <w:rPr>
          <w:vertAlign w:val="superscript"/>
        </w:rPr>
        <w:t>0;</w:t>
      </w:r>
      <w:r>
        <w:t xml:space="preserve"> the Short Form-12 Health Survey, version 2 (SF-12v2)</w:t>
      </w:r>
      <w:r w:rsidRPr="00741D70">
        <w:rPr>
          <w:vertAlign w:val="superscript"/>
        </w:rPr>
        <w:t>4</w:t>
      </w:r>
      <w:r>
        <w:rPr>
          <w:vertAlign w:val="superscript"/>
        </w:rPr>
        <w:t>1</w:t>
      </w:r>
      <w:r>
        <w:t>; the Hospital Anxiety and Depression Scale (HADS)</w:t>
      </w:r>
      <w:r w:rsidRPr="00741D70">
        <w:rPr>
          <w:vertAlign w:val="superscript"/>
        </w:rPr>
        <w:t>4</w:t>
      </w:r>
      <w:r>
        <w:rPr>
          <w:vertAlign w:val="superscript"/>
        </w:rPr>
        <w:t>2</w:t>
      </w:r>
      <w:r>
        <w:t>; the Attitude Towards Menopause checklist (ATM)</w:t>
      </w:r>
      <w:r w:rsidRPr="00741D70">
        <w:rPr>
          <w:vertAlign w:val="superscript"/>
        </w:rPr>
        <w:t>4</w:t>
      </w:r>
      <w:r>
        <w:rPr>
          <w:vertAlign w:val="superscript"/>
        </w:rPr>
        <w:t>3</w:t>
      </w:r>
      <w:r>
        <w:t>, a symptom checklist,</w:t>
      </w:r>
      <w:r w:rsidRPr="00046C88">
        <w:t xml:space="preserve"> </w:t>
      </w:r>
      <w:r>
        <w:t>questions about frequency of hot flush and night sweats</w:t>
      </w:r>
      <w:r w:rsidRPr="00741D70">
        <w:rPr>
          <w:vertAlign w:val="superscript"/>
        </w:rPr>
        <w:t>4</w:t>
      </w:r>
      <w:r>
        <w:rPr>
          <w:vertAlign w:val="superscript"/>
        </w:rPr>
        <w:t>4</w:t>
      </w:r>
      <w:r>
        <w:t>; questions relating to social support; a management strategy checklist; and a 14-item version of the Illness Perception Questionnaire-Revised (IPQ-R)</w:t>
      </w:r>
      <w:r w:rsidRPr="00741D70">
        <w:rPr>
          <w:vertAlign w:val="superscript"/>
        </w:rPr>
        <w:t>4</w:t>
      </w:r>
      <w:r>
        <w:rPr>
          <w:vertAlign w:val="superscript"/>
        </w:rPr>
        <w:t>5</w:t>
      </w:r>
      <w:r>
        <w:t>.</w:t>
      </w:r>
    </w:p>
    <w:p w:rsidR="002E1AA6" w:rsidRDefault="002E1AA6" w:rsidP="005F2B03">
      <w:pPr>
        <w:spacing w:line="480" w:lineRule="auto"/>
        <w:jc w:val="both"/>
      </w:pPr>
    </w:p>
    <w:p w:rsidR="00676448" w:rsidRDefault="00676448" w:rsidP="005F2B03">
      <w:pPr>
        <w:spacing w:line="480" w:lineRule="auto"/>
        <w:jc w:val="both"/>
      </w:pPr>
      <w:r>
        <w:lastRenderedPageBreak/>
        <w:t xml:space="preserve">The symptom checklist included 23 symptoms commonly experienced around the menopause. Respondents were asked to indicate whether they had experienced each symptom in the last month, and if yes, the level of bother from each symptom experienced and whether they attributed the symptom to the menopause. </w:t>
      </w:r>
    </w:p>
    <w:p w:rsidR="00676448" w:rsidRDefault="00676448" w:rsidP="005F2B03">
      <w:pPr>
        <w:spacing w:line="480" w:lineRule="auto"/>
        <w:jc w:val="both"/>
      </w:pPr>
    </w:p>
    <w:p w:rsidR="00676448" w:rsidRDefault="00676448" w:rsidP="005F2B03">
      <w:pPr>
        <w:spacing w:line="480" w:lineRule="auto"/>
        <w:jc w:val="both"/>
        <w:outlineLvl w:val="0"/>
        <w:rPr>
          <w:b/>
          <w:bCs/>
        </w:rPr>
      </w:pPr>
      <w:r>
        <w:rPr>
          <w:b/>
          <w:bCs/>
        </w:rPr>
        <w:t>Statistical analysis</w:t>
      </w:r>
    </w:p>
    <w:p w:rsidR="00676448" w:rsidRDefault="00676448" w:rsidP="005F2B03">
      <w:pPr>
        <w:autoSpaceDE w:val="0"/>
        <w:autoSpaceDN w:val="0"/>
        <w:adjustRightInd w:val="0"/>
        <w:spacing w:line="480" w:lineRule="auto"/>
        <w:jc w:val="both"/>
      </w:pPr>
      <w:r w:rsidRPr="00C348D5">
        <w:t xml:space="preserve">The data were </w:t>
      </w:r>
      <w:r>
        <w:t xml:space="preserve">analysed </w:t>
      </w:r>
      <w:r w:rsidRPr="00C348D5">
        <w:t>mainly using SPSS (version 17). The age and SIMD of respondents was compared to non-respon</w:t>
      </w:r>
      <w:r>
        <w:t>dents using Mann Whitney U-tests</w:t>
      </w:r>
      <w:r w:rsidRPr="00C348D5">
        <w:t xml:space="preserve">. Frequencies and </w:t>
      </w:r>
      <w:r>
        <w:t xml:space="preserve">associated </w:t>
      </w:r>
      <w:r w:rsidRPr="00C348D5">
        <w:t>95% confidence intervals (CIs)</w:t>
      </w:r>
      <w:r>
        <w:t xml:space="preserve"> for symptoms were</w:t>
      </w:r>
      <w:r w:rsidRPr="00C348D5">
        <w:t xml:space="preserve"> calculated using Confidence </w:t>
      </w:r>
      <w:r>
        <w:t>Interval Analysis version 2.0.0</w:t>
      </w:r>
      <w:r w:rsidRPr="00A03746">
        <w:rPr>
          <w:vertAlign w:val="superscript"/>
        </w:rPr>
        <w:t>4</w:t>
      </w:r>
      <w:r>
        <w:rPr>
          <w:vertAlign w:val="superscript"/>
        </w:rPr>
        <w:t>6</w:t>
      </w:r>
      <w:r>
        <w:t xml:space="preserve">. </w:t>
      </w:r>
    </w:p>
    <w:p w:rsidR="00676448" w:rsidRDefault="00676448" w:rsidP="005F2B03">
      <w:pPr>
        <w:autoSpaceDE w:val="0"/>
        <w:autoSpaceDN w:val="0"/>
        <w:adjustRightInd w:val="0"/>
        <w:spacing w:line="480" w:lineRule="auto"/>
        <w:jc w:val="both"/>
      </w:pPr>
    </w:p>
    <w:p w:rsidR="00676448" w:rsidRDefault="00676448" w:rsidP="005F2B03">
      <w:pPr>
        <w:spacing w:line="480" w:lineRule="auto"/>
        <w:jc w:val="both"/>
      </w:pPr>
      <w:r>
        <w:t xml:space="preserve">In accordance with the </w:t>
      </w:r>
      <w:r w:rsidRPr="000C601B">
        <w:t>staging system</w:t>
      </w:r>
      <w:r>
        <w:t xml:space="preserve"> of menses recommended by the </w:t>
      </w:r>
      <w:r w:rsidRPr="000C601B">
        <w:t>Stages of Repro</w:t>
      </w:r>
      <w:r>
        <w:t>ductive Aging Workshop (STRAW</w:t>
      </w:r>
      <w:proofErr w:type="gramStart"/>
      <w:r>
        <w:t>)</w:t>
      </w:r>
      <w:r w:rsidRPr="00A03746">
        <w:rPr>
          <w:vertAlign w:val="superscript"/>
        </w:rPr>
        <w:t>4</w:t>
      </w:r>
      <w:r>
        <w:rPr>
          <w:vertAlign w:val="superscript"/>
        </w:rPr>
        <w:t>7</w:t>
      </w:r>
      <w:proofErr w:type="gramEnd"/>
      <w:r>
        <w:t>, r</w:t>
      </w:r>
      <w:r w:rsidRPr="00C348D5">
        <w:t xml:space="preserve">espondents were classified as: </w:t>
      </w:r>
      <w:r w:rsidRPr="00C348D5">
        <w:rPr>
          <w:i/>
          <w:iCs/>
        </w:rPr>
        <w:t>premenopausal</w:t>
      </w:r>
      <w:r w:rsidRPr="00C348D5">
        <w:t xml:space="preserve"> if they reported that their</w:t>
      </w:r>
      <w:r>
        <w:t xml:space="preserve"> menstrual</w:t>
      </w:r>
      <w:r w:rsidRPr="00C348D5">
        <w:t xml:space="preserve"> periods had not changed in the last few years, </w:t>
      </w:r>
      <w:proofErr w:type="spellStart"/>
      <w:r w:rsidRPr="00C348D5">
        <w:rPr>
          <w:i/>
          <w:iCs/>
        </w:rPr>
        <w:t>perimenopausal</w:t>
      </w:r>
      <w:proofErr w:type="spellEnd"/>
      <w:r w:rsidRPr="00C348D5">
        <w:t xml:space="preserve"> if they reported that they were experiencing menstrual cycle irregularities but had not gone 12 months in a row without a period, </w:t>
      </w:r>
      <w:r>
        <w:t xml:space="preserve">and </w:t>
      </w:r>
      <w:r w:rsidRPr="00C348D5">
        <w:rPr>
          <w:i/>
          <w:iCs/>
        </w:rPr>
        <w:t>postmenopausal</w:t>
      </w:r>
      <w:r w:rsidRPr="00C348D5">
        <w:t xml:space="preserve"> if they had not had a period in the last 12 months. Respondents who reported having had a hysterectomy and/or </w:t>
      </w:r>
      <w:proofErr w:type="spellStart"/>
      <w:r w:rsidRPr="00C348D5">
        <w:t>oopherectomy</w:t>
      </w:r>
      <w:proofErr w:type="spellEnd"/>
      <w:r w:rsidRPr="00C348D5">
        <w:t xml:space="preserve"> were classified as having a surgical menopause (</w:t>
      </w:r>
      <w:r w:rsidRPr="00C348D5">
        <w:rPr>
          <w:i/>
          <w:iCs/>
        </w:rPr>
        <w:t>surgically menopausal</w:t>
      </w:r>
      <w:r w:rsidRPr="00C348D5">
        <w:t>).</w:t>
      </w:r>
      <w:r>
        <w:t xml:space="preserve"> </w:t>
      </w:r>
      <w:r w:rsidRPr="00C348D5">
        <w:t>Women who were using the intrauterine system (</w:t>
      </w:r>
      <w:proofErr w:type="spellStart"/>
      <w:r w:rsidRPr="00C348D5">
        <w:t>Mirena</w:t>
      </w:r>
      <w:proofErr w:type="spellEnd"/>
      <w:r w:rsidRPr="00C348D5">
        <w:t>), who began HRT whilst still menstruating, who had an endometrial ablation and who had missing data about menstrual periods were regarded as “</w:t>
      </w:r>
      <w:r w:rsidRPr="00C348D5">
        <w:rPr>
          <w:i/>
          <w:iCs/>
        </w:rPr>
        <w:t>unclassifiable</w:t>
      </w:r>
      <w:r w:rsidRPr="00C348D5">
        <w:t>” with respect to menopausal status.</w:t>
      </w:r>
      <w:r>
        <w:t xml:space="preserve"> </w:t>
      </w:r>
    </w:p>
    <w:p w:rsidR="00676448" w:rsidRDefault="00676448" w:rsidP="005F2B03">
      <w:pPr>
        <w:spacing w:line="480" w:lineRule="auto"/>
        <w:jc w:val="both"/>
      </w:pPr>
    </w:p>
    <w:p w:rsidR="00676448" w:rsidRDefault="00676448" w:rsidP="005F2B03">
      <w:pPr>
        <w:spacing w:line="480" w:lineRule="auto"/>
        <w:jc w:val="both"/>
      </w:pPr>
      <w:r>
        <w:t xml:space="preserve">A number of covariates were categorised for subsequent use in the regression models. Education was categorised into: no education or O levels, </w:t>
      </w:r>
      <w:proofErr w:type="spellStart"/>
      <w:r>
        <w:t>highers</w:t>
      </w:r>
      <w:proofErr w:type="spellEnd"/>
      <w:r>
        <w:t xml:space="preserve"> or college qualification, degree or postgraduate qualification. Employment was categorised into: not employed, part-</w:t>
      </w:r>
      <w:r>
        <w:lastRenderedPageBreak/>
        <w:t>time employment, self-employed, full-time employment. BMI was divided into: &lt;25kg/m</w:t>
      </w:r>
      <w:r>
        <w:rPr>
          <w:vertAlign w:val="superscript"/>
        </w:rPr>
        <w:t>2</w:t>
      </w:r>
      <w:r>
        <w:t>, 25-30kg/m</w:t>
      </w:r>
      <w:r>
        <w:rPr>
          <w:vertAlign w:val="superscript"/>
        </w:rPr>
        <w:t>2</w:t>
      </w:r>
      <w:r>
        <w:t>, &gt;30kg/m</w:t>
      </w:r>
      <w:r>
        <w:rPr>
          <w:vertAlign w:val="superscript"/>
        </w:rPr>
        <w:t>2</w:t>
      </w:r>
      <w:r>
        <w:t xml:space="preserve">. Smoking </w:t>
      </w:r>
      <w:r w:rsidR="00861CC6">
        <w:t>status was classified as: never, current</w:t>
      </w:r>
      <w:r>
        <w:t xml:space="preserve">, ex-smokers. Alcohol consumption was divided into: &lt;7, 7-14, &gt;14 units per week. Frequency of exercise and strenuous exercise was categorised into: rarely or &lt;once a week, once or 2-3 times a week, 4-6 times a week or every day. Self-assessed health was categorised into: excellent, very good, good, fair or poor (combined). Mental and physical health summary scores from the SF-12v2 were categorised into: </w:t>
      </w:r>
      <w:r>
        <w:rPr>
          <w:rFonts w:ascii="Sylfaen" w:hAnsi="Sylfaen" w:cs="Sylfaen"/>
        </w:rPr>
        <w:t>≤</w:t>
      </w:r>
      <w:r>
        <w:t xml:space="preserve">median, &gt;median value. Social support from friends, family or a significant other were categorised into: low, moderate, high social support- based on the distribution of scores from the MSPSS. Scores of </w:t>
      </w:r>
      <w:r>
        <w:rPr>
          <w:rFonts w:ascii="Sylfaen" w:hAnsi="Sylfaen" w:cs="Sylfaen"/>
        </w:rPr>
        <w:t>≥</w:t>
      </w:r>
      <w:r>
        <w:t>8 on the anxiety (HADS-A) or depression (HADS-D) subscales of the HADS were used to categorise respondents into those who had a possible case of anxiety or depression, respectively.  Attitudes towards menopause were categorised into: positive, neutral, negative. Scores on the illness perceptions scale were categorised according to score-</w:t>
      </w:r>
      <w:proofErr w:type="spellStart"/>
      <w:r>
        <w:t>tertiles</w:t>
      </w:r>
      <w:proofErr w:type="spellEnd"/>
      <w:r>
        <w:t>: high, moderate, low illness perceptions.</w:t>
      </w:r>
    </w:p>
    <w:p w:rsidR="00676448" w:rsidRDefault="00676448" w:rsidP="005F2B03">
      <w:pPr>
        <w:spacing w:line="480" w:lineRule="auto"/>
        <w:jc w:val="both"/>
      </w:pPr>
    </w:p>
    <w:p w:rsidR="00676448" w:rsidRDefault="00676448" w:rsidP="005F2B03">
      <w:pPr>
        <w:spacing w:line="480" w:lineRule="auto"/>
        <w:jc w:val="both"/>
      </w:pPr>
      <w:r>
        <w:t>Symptom m</w:t>
      </w:r>
      <w:r w:rsidRPr="0005591D">
        <w:t>anagement strategies</w:t>
      </w:r>
      <w:r w:rsidRPr="00C348D5">
        <w:t xml:space="preserve"> </w:t>
      </w:r>
      <w:r>
        <w:t xml:space="preserve">were categorised </w:t>
      </w:r>
      <w:r w:rsidRPr="00C348D5">
        <w:t>into four groups</w:t>
      </w:r>
      <w:r>
        <w:t>-</w:t>
      </w:r>
      <w:r w:rsidRPr="00C348D5">
        <w:t xml:space="preserve"> psychological strategies</w:t>
      </w:r>
      <w:r>
        <w:t>:</w:t>
      </w:r>
      <w:r w:rsidRPr="00C348D5">
        <w:t xml:space="preserve"> currently talking to family and friends</w:t>
      </w:r>
      <w:r>
        <w:t xml:space="preserve">, </w:t>
      </w:r>
      <w:r w:rsidRPr="00C348D5">
        <w:t>talking to a health professional</w:t>
      </w:r>
      <w:r>
        <w:t>, relaxation;</w:t>
      </w:r>
      <w:r w:rsidRPr="00C348D5">
        <w:t xml:space="preserve"> prescription </w:t>
      </w:r>
      <w:r>
        <w:t>strategies:</w:t>
      </w:r>
      <w:r w:rsidRPr="00C348D5">
        <w:t xml:space="preserve"> currently using HRT</w:t>
      </w:r>
      <w:r>
        <w:t xml:space="preserve">, </w:t>
      </w:r>
      <w:r w:rsidRPr="00C348D5">
        <w:t>anti-depressants</w:t>
      </w:r>
      <w:r>
        <w:t xml:space="preserve">, </w:t>
      </w:r>
      <w:proofErr w:type="spellStart"/>
      <w:r w:rsidRPr="00C348D5">
        <w:t>clonidine</w:t>
      </w:r>
      <w:proofErr w:type="spellEnd"/>
      <w:r w:rsidR="001D2765">
        <w:t>,</w:t>
      </w:r>
      <w:r>
        <w:t xml:space="preserve"> oestrogen creams;</w:t>
      </w:r>
      <w:r w:rsidRPr="00C348D5">
        <w:t xml:space="preserve"> complementary alternative medicine</w:t>
      </w:r>
      <w:r>
        <w:t xml:space="preserve"> (</w:t>
      </w:r>
      <w:r w:rsidRPr="00C348D5">
        <w:t>CAM</w:t>
      </w:r>
      <w:r>
        <w:t>) strategies:</w:t>
      </w:r>
      <w:r w:rsidRPr="00C348D5">
        <w:t xml:space="preserve"> currently using herbal remedies</w:t>
      </w:r>
      <w:r>
        <w:t xml:space="preserve">, </w:t>
      </w:r>
      <w:r w:rsidRPr="00C348D5">
        <w:t>vitamins</w:t>
      </w:r>
      <w:r>
        <w:t xml:space="preserve">, </w:t>
      </w:r>
      <w:r w:rsidRPr="00C348D5">
        <w:t>acupuncture</w:t>
      </w:r>
      <w:r>
        <w:t xml:space="preserve"> or </w:t>
      </w:r>
      <w:r w:rsidRPr="00C348D5">
        <w:t>reflexology</w:t>
      </w:r>
      <w:r>
        <w:t>; and</w:t>
      </w:r>
      <w:r w:rsidRPr="00C348D5">
        <w:t xml:space="preserve"> lifestyle strategies</w:t>
      </w:r>
      <w:r>
        <w:t>:</w:t>
      </w:r>
      <w:r w:rsidRPr="00C348D5">
        <w:t xml:space="preserve"> avoiding caffeine</w:t>
      </w:r>
      <w:r>
        <w:t>,</w:t>
      </w:r>
      <w:r w:rsidRPr="00C348D5">
        <w:t xml:space="preserve"> wearing cotton clothes</w:t>
      </w:r>
      <w:r>
        <w:t xml:space="preserve">, </w:t>
      </w:r>
      <w:r w:rsidRPr="00C348D5">
        <w:t>sleeping in a cool room</w:t>
      </w:r>
      <w:r>
        <w:t xml:space="preserve">, </w:t>
      </w:r>
      <w:r w:rsidRPr="00C348D5">
        <w:t>exercising</w:t>
      </w:r>
      <w:r>
        <w:t xml:space="preserve">, </w:t>
      </w:r>
      <w:r w:rsidRPr="00C348D5">
        <w:t>using lubricants.</w:t>
      </w:r>
    </w:p>
    <w:p w:rsidR="00676448" w:rsidRDefault="00676448" w:rsidP="005F2B03">
      <w:pPr>
        <w:spacing w:line="480" w:lineRule="auto"/>
        <w:jc w:val="both"/>
      </w:pPr>
    </w:p>
    <w:p w:rsidR="00676448" w:rsidRDefault="00676448" w:rsidP="005F2B03">
      <w:pPr>
        <w:spacing w:line="480" w:lineRule="auto"/>
        <w:jc w:val="both"/>
      </w:pPr>
      <w:r>
        <w:t>In order to group the data about the 23 symptoms, we first conducted factor analysis for</w:t>
      </w:r>
      <w:r w:rsidRPr="00C348D5">
        <w:t xml:space="preserve"> </w:t>
      </w:r>
      <w:r>
        <w:t xml:space="preserve">each of </w:t>
      </w:r>
      <w:r w:rsidRPr="00C348D5">
        <w:t>the four menopausal groups (premenopausal</w:t>
      </w:r>
      <w:r>
        <w:t>,</w:t>
      </w:r>
      <w:r w:rsidRPr="00C348D5">
        <w:t xml:space="preserve"> </w:t>
      </w:r>
      <w:proofErr w:type="spellStart"/>
      <w:r w:rsidRPr="00C348D5">
        <w:t>perimenopausal</w:t>
      </w:r>
      <w:proofErr w:type="spellEnd"/>
      <w:r>
        <w:t>,</w:t>
      </w:r>
      <w:r w:rsidRPr="00C348D5">
        <w:t xml:space="preserve"> naturally postmenopa</w:t>
      </w:r>
      <w:r>
        <w:t xml:space="preserve">usal and surgically menopausal). We used the principal components method with </w:t>
      </w:r>
      <w:proofErr w:type="spellStart"/>
      <w:r>
        <w:t>varimax</w:t>
      </w:r>
      <w:proofErr w:type="spellEnd"/>
      <w:r>
        <w:t xml:space="preserve"> rotation</w:t>
      </w:r>
      <w:r w:rsidRPr="00A03746">
        <w:rPr>
          <w:vertAlign w:val="superscript"/>
        </w:rPr>
        <w:t>4</w:t>
      </w:r>
      <w:r>
        <w:rPr>
          <w:vertAlign w:val="superscript"/>
        </w:rPr>
        <w:t>8</w:t>
      </w:r>
      <w:r w:rsidRPr="00371D20">
        <w:t>.</w:t>
      </w:r>
      <w:r>
        <w:t xml:space="preserve"> A factor loading of ≥0.4 was</w:t>
      </w:r>
      <w:r w:rsidRPr="00C348D5">
        <w:t xml:space="preserve"> used to determine whether or not individual </w:t>
      </w:r>
      <w:r w:rsidRPr="00C348D5">
        <w:lastRenderedPageBreak/>
        <w:t>symptoms belong</w:t>
      </w:r>
      <w:r>
        <w:t>ed</w:t>
      </w:r>
      <w:r w:rsidRPr="00C348D5">
        <w:t xml:space="preserve"> to the same underlying factor. Emerging factors with an </w:t>
      </w:r>
      <w:proofErr w:type="spellStart"/>
      <w:r>
        <w:t>e</w:t>
      </w:r>
      <w:r w:rsidRPr="00C348D5">
        <w:t>igenvalue</w:t>
      </w:r>
      <w:proofErr w:type="spellEnd"/>
      <w:r w:rsidRPr="00C348D5">
        <w:t xml:space="preserve"> of ≥1 were retain</w:t>
      </w:r>
      <w:r>
        <w:t>ed</w:t>
      </w:r>
      <w:r w:rsidRPr="00C348D5">
        <w:t xml:space="preserve">. </w:t>
      </w:r>
    </w:p>
    <w:p w:rsidR="00676448" w:rsidRDefault="00676448" w:rsidP="005F2B03">
      <w:pPr>
        <w:spacing w:line="480" w:lineRule="auto"/>
        <w:jc w:val="both"/>
      </w:pPr>
    </w:p>
    <w:p w:rsidR="00676448" w:rsidRDefault="00676448" w:rsidP="005F2B03">
      <w:pPr>
        <w:spacing w:line="480" w:lineRule="auto"/>
        <w:jc w:val="both"/>
      </w:pPr>
      <w:r w:rsidRPr="00C348D5">
        <w:t xml:space="preserve">The number and type of </w:t>
      </w:r>
      <w:r>
        <w:t>factor</w:t>
      </w:r>
      <w:r w:rsidRPr="00C348D5">
        <w:t xml:space="preserve">s to emerge from </w:t>
      </w:r>
      <w:r>
        <w:t xml:space="preserve">the </w:t>
      </w:r>
      <w:r w:rsidRPr="00C348D5">
        <w:t>factor analysis sometimes varied a</w:t>
      </w:r>
      <w:r>
        <w:t>cross</w:t>
      </w:r>
      <w:r w:rsidRPr="00C348D5">
        <w:t xml:space="preserve"> the different menopausal groups. When this occurred the most </w:t>
      </w:r>
      <w:r>
        <w:t>common</w:t>
      </w:r>
      <w:r w:rsidRPr="00C348D5">
        <w:t xml:space="preserve"> pattern of grouping </w:t>
      </w:r>
      <w:r>
        <w:t xml:space="preserve">symptoms </w:t>
      </w:r>
      <w:r w:rsidRPr="00C348D5">
        <w:t xml:space="preserve">was adopted. </w:t>
      </w:r>
      <w:r>
        <w:t>Thus, a</w:t>
      </w:r>
      <w:r w:rsidRPr="00C348D5">
        <w:t xml:space="preserve"> symptom was grouped into a particular factor if it clustered </w:t>
      </w:r>
      <w:r>
        <w:t>in the same way</w:t>
      </w:r>
      <w:r w:rsidRPr="00C348D5">
        <w:t xml:space="preserve"> in two or more menopausal groups.</w:t>
      </w:r>
      <w:r>
        <w:t xml:space="preserve"> Factors</w:t>
      </w:r>
      <w:r w:rsidRPr="00C348D5">
        <w:t xml:space="preserve"> were given names based on the general characteristics of symptoms in</w:t>
      </w:r>
      <w:r>
        <w:t>cluded in it</w:t>
      </w:r>
      <w:r w:rsidRPr="00C348D5">
        <w:t xml:space="preserve">. </w:t>
      </w:r>
    </w:p>
    <w:p w:rsidR="00676448" w:rsidRDefault="00676448" w:rsidP="005F2B03">
      <w:pPr>
        <w:spacing w:line="480" w:lineRule="auto"/>
        <w:jc w:val="both"/>
      </w:pPr>
    </w:p>
    <w:p w:rsidR="00676448" w:rsidRDefault="00676448" w:rsidP="005F2B03">
      <w:pPr>
        <w:spacing w:line="480" w:lineRule="auto"/>
        <w:jc w:val="both"/>
      </w:pPr>
      <w:r>
        <w:t>To identify variables associated with the reporting of each of the classic menopausal symptoms, Chi-squared or Mann-Whitney tests were initially carried out to determine statistically significant associations for any of the variables included in the questionnaire. Variables showing a significant association (p&lt;0.05) with any of the classic menopausal symptoms were then entered into forward stepwise logistic regression models to identify the socio-demographic, physical and psychological variables independently associated with the reporting of each of the classic menopausal symptoms.</w:t>
      </w:r>
    </w:p>
    <w:p w:rsidR="00676448" w:rsidRDefault="00676448" w:rsidP="005F2B03">
      <w:pPr>
        <w:spacing w:line="480" w:lineRule="auto"/>
        <w:jc w:val="both"/>
      </w:pPr>
    </w:p>
    <w:p w:rsidR="00676448" w:rsidRPr="00C348D5" w:rsidRDefault="00676448" w:rsidP="005F2B03">
      <w:pPr>
        <w:spacing w:line="480" w:lineRule="auto"/>
        <w:jc w:val="both"/>
      </w:pPr>
      <w:r w:rsidRPr="00C348D5">
        <w:t>The factor “</w:t>
      </w:r>
      <w:r w:rsidRPr="00D8319A">
        <w:rPr>
          <w:i/>
          <w:iCs/>
        </w:rPr>
        <w:t>vasomotor symptoms</w:t>
      </w:r>
      <w:r w:rsidRPr="00C348D5">
        <w:t xml:space="preserve">” was not included in the analysis exploring </w:t>
      </w:r>
      <w:r>
        <w:t xml:space="preserve">variables </w:t>
      </w:r>
      <w:r w:rsidRPr="00C348D5">
        <w:t xml:space="preserve">associated with reporting of </w:t>
      </w:r>
      <w:r w:rsidRPr="00771651">
        <w:rPr>
          <w:i/>
          <w:iCs/>
        </w:rPr>
        <w:t>hot flushes</w:t>
      </w:r>
      <w:r w:rsidRPr="00D8319A">
        <w:t xml:space="preserve"> or </w:t>
      </w:r>
      <w:r w:rsidRPr="00174F70">
        <w:rPr>
          <w:i/>
          <w:iCs/>
        </w:rPr>
        <w:t>night sweats</w:t>
      </w:r>
      <w:r>
        <w:t xml:space="preserve"> </w:t>
      </w:r>
      <w:r w:rsidRPr="00C348D5">
        <w:t>since “</w:t>
      </w:r>
      <w:r w:rsidRPr="00D8319A">
        <w:rPr>
          <w:i/>
          <w:iCs/>
        </w:rPr>
        <w:t>vasomotor symptoms</w:t>
      </w:r>
      <w:r w:rsidRPr="00C348D5">
        <w:t xml:space="preserve">” comprised of </w:t>
      </w:r>
      <w:r w:rsidRPr="00174F70">
        <w:rPr>
          <w:i/>
          <w:iCs/>
        </w:rPr>
        <w:t>hot flushes</w:t>
      </w:r>
      <w:r w:rsidRPr="00C348D5">
        <w:t xml:space="preserve">, </w:t>
      </w:r>
      <w:r w:rsidRPr="00174F70">
        <w:rPr>
          <w:i/>
          <w:iCs/>
        </w:rPr>
        <w:t>night sweats</w:t>
      </w:r>
      <w:r w:rsidRPr="00D8319A">
        <w:t xml:space="preserve"> and </w:t>
      </w:r>
      <w:r w:rsidRPr="00174F70">
        <w:rPr>
          <w:i/>
          <w:iCs/>
        </w:rPr>
        <w:t>sleep difficulties</w:t>
      </w:r>
      <w:r w:rsidRPr="00C348D5">
        <w:t>. Similarly, the factor “</w:t>
      </w:r>
      <w:r w:rsidRPr="00D8319A">
        <w:rPr>
          <w:i/>
          <w:iCs/>
        </w:rPr>
        <w:t>sexual symptoms</w:t>
      </w:r>
      <w:r w:rsidRPr="00C348D5">
        <w:t xml:space="preserve">” was not included in analysis of </w:t>
      </w:r>
      <w:r>
        <w:t>variables</w:t>
      </w:r>
      <w:r w:rsidRPr="00C348D5">
        <w:t xml:space="preserve"> associated with </w:t>
      </w:r>
      <w:r w:rsidRPr="00D36A9B">
        <w:rPr>
          <w:i/>
          <w:iCs/>
        </w:rPr>
        <w:t>vaginal dryness</w:t>
      </w:r>
      <w:r w:rsidRPr="00C348D5">
        <w:t xml:space="preserve">, since this factor comprised of </w:t>
      </w:r>
      <w:r w:rsidRPr="00D36A9B">
        <w:rPr>
          <w:i/>
          <w:iCs/>
        </w:rPr>
        <w:t>vaginal dryness</w:t>
      </w:r>
      <w:r w:rsidRPr="00D8319A">
        <w:t xml:space="preserve"> and </w:t>
      </w:r>
      <w:r w:rsidRPr="00174F70">
        <w:rPr>
          <w:i/>
          <w:iCs/>
        </w:rPr>
        <w:t>decreased sexual interest</w:t>
      </w:r>
      <w:r w:rsidRPr="00C348D5">
        <w:t>. To overcome this issue of overlap, symptoms grouped in the “</w:t>
      </w:r>
      <w:r w:rsidRPr="009C7551">
        <w:rPr>
          <w:i/>
          <w:iCs/>
        </w:rPr>
        <w:t>vasomotor symptoms</w:t>
      </w:r>
      <w:r w:rsidRPr="00C348D5">
        <w:t xml:space="preserve">” factor were entered separately in the </w:t>
      </w:r>
      <w:proofErr w:type="spellStart"/>
      <w:r w:rsidRPr="00C348D5">
        <w:t>univariate</w:t>
      </w:r>
      <w:proofErr w:type="spellEnd"/>
      <w:r w:rsidRPr="00C348D5">
        <w:t xml:space="preserve"> and multivariate analyses investigating </w:t>
      </w:r>
      <w:r w:rsidRPr="00174F70">
        <w:rPr>
          <w:i/>
          <w:iCs/>
        </w:rPr>
        <w:t>hot flushes</w:t>
      </w:r>
      <w:r w:rsidRPr="009C7551">
        <w:t xml:space="preserve"> and </w:t>
      </w:r>
      <w:r w:rsidRPr="00174F70">
        <w:rPr>
          <w:i/>
          <w:iCs/>
        </w:rPr>
        <w:t>night sweats</w:t>
      </w:r>
      <w:r w:rsidRPr="006F3809">
        <w:t>.  For example,</w:t>
      </w:r>
      <w:r>
        <w:rPr>
          <w:i/>
          <w:iCs/>
        </w:rPr>
        <w:t xml:space="preserve"> </w:t>
      </w:r>
      <w:r w:rsidRPr="00C348D5">
        <w:t xml:space="preserve">when investigating </w:t>
      </w:r>
      <w:r>
        <w:t>variable</w:t>
      </w:r>
      <w:r w:rsidRPr="00C348D5">
        <w:t xml:space="preserve">s associated with </w:t>
      </w:r>
      <w:r w:rsidRPr="00AB3759">
        <w:rPr>
          <w:i/>
          <w:iCs/>
        </w:rPr>
        <w:t>hot flushes</w:t>
      </w:r>
      <w:r w:rsidRPr="00C348D5">
        <w:t xml:space="preserve">, </w:t>
      </w:r>
      <w:r w:rsidRPr="00E103E8">
        <w:rPr>
          <w:i/>
          <w:iCs/>
        </w:rPr>
        <w:t>night sweats</w:t>
      </w:r>
      <w:r w:rsidRPr="00701934">
        <w:t xml:space="preserve"> </w:t>
      </w:r>
      <w:r w:rsidRPr="00701934">
        <w:lastRenderedPageBreak/>
        <w:t xml:space="preserve">and </w:t>
      </w:r>
      <w:r w:rsidRPr="00E103E8">
        <w:rPr>
          <w:i/>
          <w:iCs/>
        </w:rPr>
        <w:t>sleep difficulties</w:t>
      </w:r>
      <w:r w:rsidRPr="00C348D5">
        <w:t xml:space="preserve"> were</w:t>
      </w:r>
      <w:r>
        <w:t xml:space="preserve"> each</w:t>
      </w:r>
      <w:r w:rsidRPr="00C348D5">
        <w:t xml:space="preserve"> entered into the model as</w:t>
      </w:r>
      <w:r>
        <w:t xml:space="preserve"> single symptoms, with </w:t>
      </w:r>
      <w:r w:rsidRPr="00C348D5">
        <w:t xml:space="preserve">the other symptoms entered into the model in the groups </w:t>
      </w:r>
      <w:r>
        <w:t xml:space="preserve">identified </w:t>
      </w:r>
      <w:r w:rsidRPr="00C348D5">
        <w:t xml:space="preserve">by </w:t>
      </w:r>
      <w:r>
        <w:t xml:space="preserve">the </w:t>
      </w:r>
      <w:r w:rsidRPr="00C348D5">
        <w:t xml:space="preserve">factor analysis. When investigating </w:t>
      </w:r>
      <w:r w:rsidRPr="00D36A9B">
        <w:rPr>
          <w:i/>
          <w:iCs/>
        </w:rPr>
        <w:t>vaginal dryness</w:t>
      </w:r>
      <w:r w:rsidRPr="00C348D5">
        <w:t>, decreased sexual interest was entered into</w:t>
      </w:r>
      <w:r>
        <w:t xml:space="preserve"> the model as a single symptom, </w:t>
      </w:r>
      <w:r w:rsidRPr="00C348D5">
        <w:t xml:space="preserve">all </w:t>
      </w:r>
      <w:r>
        <w:t xml:space="preserve">of </w:t>
      </w:r>
      <w:r w:rsidRPr="00C348D5">
        <w:t xml:space="preserve">the other symptoms </w:t>
      </w:r>
      <w:r w:rsidR="00762B39">
        <w:t xml:space="preserve">were </w:t>
      </w:r>
      <w:r w:rsidRPr="00C348D5">
        <w:t>entered as grou</w:t>
      </w:r>
      <w:r>
        <w:t>ps determined by factor analysis</w:t>
      </w:r>
      <w:r w:rsidRPr="00C348D5">
        <w:t>.</w:t>
      </w:r>
    </w:p>
    <w:p w:rsidR="00412970" w:rsidRDefault="00412970" w:rsidP="005F2B03">
      <w:pPr>
        <w:spacing w:line="480" w:lineRule="auto"/>
        <w:jc w:val="both"/>
        <w:rPr>
          <w:b/>
          <w:bCs/>
        </w:rPr>
      </w:pPr>
    </w:p>
    <w:p w:rsidR="00676448" w:rsidRPr="00931402" w:rsidRDefault="00676448" w:rsidP="005F2B03">
      <w:pPr>
        <w:spacing w:line="480" w:lineRule="auto"/>
        <w:jc w:val="both"/>
      </w:pPr>
      <w:r w:rsidRPr="00771651">
        <w:rPr>
          <w:b/>
          <w:bCs/>
        </w:rPr>
        <w:t>Results</w:t>
      </w:r>
    </w:p>
    <w:p w:rsidR="00676448" w:rsidRPr="00277CC4" w:rsidRDefault="00676448" w:rsidP="005F2B03">
      <w:pPr>
        <w:spacing w:line="480" w:lineRule="auto"/>
        <w:jc w:val="both"/>
      </w:pPr>
      <w:r w:rsidRPr="00277CC4">
        <w:t>The corrected response rate</w:t>
      </w:r>
      <w:r>
        <w:t xml:space="preserve"> to the postal questionnaire</w:t>
      </w:r>
      <w:r w:rsidRPr="00277CC4">
        <w:t xml:space="preserve"> was 55% (4445/8111). </w:t>
      </w:r>
      <w:r>
        <w:t xml:space="preserve">After exclusions data were available for </w:t>
      </w:r>
      <w:r w:rsidRPr="00277CC4">
        <w:t>4407 women.</w:t>
      </w:r>
      <w:r w:rsidR="004A29AC">
        <w:t xml:space="preserve"> Data regarding the prevalence of the 23 symptoms and management strategies employed</w:t>
      </w:r>
      <w:r w:rsidR="002C7639">
        <w:t xml:space="preserve"> have been published elsewhere.</w:t>
      </w:r>
      <w:r w:rsidR="002C7639">
        <w:rPr>
          <w:vertAlign w:val="superscript"/>
        </w:rPr>
        <w:t>49</w:t>
      </w:r>
      <w:r w:rsidR="002C7639">
        <w:t xml:space="preserve"> </w:t>
      </w:r>
    </w:p>
    <w:p w:rsidR="00676448" w:rsidRDefault="00676448" w:rsidP="005F2B03">
      <w:pPr>
        <w:spacing w:line="480" w:lineRule="auto"/>
        <w:jc w:val="both"/>
        <w:rPr>
          <w:b/>
          <w:bCs/>
        </w:rPr>
      </w:pPr>
    </w:p>
    <w:p w:rsidR="00676448" w:rsidRPr="00277CC4" w:rsidRDefault="00676448" w:rsidP="005F2B03">
      <w:pPr>
        <w:spacing w:line="480" w:lineRule="auto"/>
        <w:jc w:val="both"/>
      </w:pPr>
      <w:r>
        <w:t>T</w:t>
      </w:r>
      <w:r w:rsidRPr="00277CC4">
        <w:t>here was no significant difference in the age of respondents (median 49</w:t>
      </w:r>
      <w:r>
        <w:t xml:space="preserve"> years</w:t>
      </w:r>
      <w:r w:rsidRPr="00277CC4">
        <w:t>, inter quartile range (IQR) 47 to 52) and non-respondents (median 49, IQR 47 to 51), (p</w:t>
      </w:r>
      <w:r>
        <w:t>=0.44</w:t>
      </w:r>
      <w:r w:rsidRPr="00277CC4">
        <w:t xml:space="preserve">). Respondents were significantly more affluent (median SIMD 4, IQR 3 to 5) than non-respondents (median SIMD 3, IQR 2 to 4), (p&lt;0.001). </w:t>
      </w:r>
    </w:p>
    <w:p w:rsidR="00676448" w:rsidRDefault="00676448" w:rsidP="005F2B03">
      <w:pPr>
        <w:spacing w:line="480" w:lineRule="auto"/>
        <w:jc w:val="both"/>
        <w:rPr>
          <w:b/>
          <w:bCs/>
        </w:rPr>
      </w:pPr>
    </w:p>
    <w:p w:rsidR="00676448" w:rsidRDefault="00676448" w:rsidP="005F2B03">
      <w:pPr>
        <w:spacing w:line="480" w:lineRule="auto"/>
        <w:jc w:val="both"/>
      </w:pPr>
      <w:r w:rsidRPr="00277CC4">
        <w:t>Roughly two fifths of the respondents had three or more pregnancies (40%) and two children (43%</w:t>
      </w:r>
      <w:r>
        <w:t xml:space="preserve">, </w:t>
      </w:r>
      <w:r w:rsidRPr="001342CD">
        <w:rPr>
          <w:color w:val="0000FF"/>
        </w:rPr>
        <w:t>Table 1</w:t>
      </w:r>
      <w:r w:rsidRPr="00277CC4">
        <w:t>). Most of the sample (78%) was married or cohabiting; 11%</w:t>
      </w:r>
      <w:r>
        <w:t xml:space="preserve"> were </w:t>
      </w:r>
      <w:r w:rsidRPr="00277CC4">
        <w:t>divorced or separated. Almost a third of respondents were educated to degree l</w:t>
      </w:r>
      <w:r>
        <w:t>evel (29%), or secondary school level</w:t>
      </w:r>
      <w:r w:rsidRPr="00277CC4">
        <w:t xml:space="preserve"> (26%). Nearly half of the </w:t>
      </w:r>
      <w:r>
        <w:t>women were</w:t>
      </w:r>
      <w:r w:rsidRPr="00277CC4">
        <w:t xml:space="preserve"> in full time paid employment (49%).</w:t>
      </w:r>
    </w:p>
    <w:p w:rsidR="00676448" w:rsidRDefault="00676448" w:rsidP="005F2B03">
      <w:pPr>
        <w:spacing w:line="480" w:lineRule="auto"/>
        <w:jc w:val="both"/>
      </w:pPr>
    </w:p>
    <w:p w:rsidR="00676448" w:rsidRDefault="00676448" w:rsidP="005F2B03">
      <w:pPr>
        <w:spacing w:line="480" w:lineRule="auto"/>
        <w:jc w:val="both"/>
      </w:pPr>
      <w:r>
        <w:t xml:space="preserve">A quarter of the respondents were </w:t>
      </w:r>
      <w:r w:rsidRPr="00277CC4">
        <w:t xml:space="preserve">premenopausal; 28% </w:t>
      </w:r>
      <w:proofErr w:type="spellStart"/>
      <w:r w:rsidRPr="00277CC4">
        <w:t>perimenopausal</w:t>
      </w:r>
      <w:proofErr w:type="spellEnd"/>
      <w:r w:rsidRPr="00277CC4">
        <w:t>; 22% postmenopausal; 14% surgically menopausal; and 12% “unclassifiable”</w:t>
      </w:r>
      <w:r>
        <w:t>.</w:t>
      </w:r>
      <w:r w:rsidRPr="00277CC4">
        <w:t xml:space="preserve"> The median age at natural menopause was 48.0 years </w:t>
      </w:r>
      <w:r>
        <w:t>(</w:t>
      </w:r>
      <w:r w:rsidRPr="00277CC4">
        <w:t>IQR 45.0 to 50.0</w:t>
      </w:r>
      <w:r>
        <w:t>; data not shown)</w:t>
      </w:r>
      <w:r w:rsidRPr="00277CC4">
        <w:t>.</w:t>
      </w:r>
      <w:r w:rsidRPr="00460F80">
        <w:rPr>
          <w:i/>
          <w:iCs/>
        </w:rPr>
        <w:t xml:space="preserve"> </w:t>
      </w:r>
      <w:r w:rsidRPr="003C0BE2">
        <w:rPr>
          <w:i/>
          <w:iCs/>
        </w:rPr>
        <w:t>Hot flushes</w:t>
      </w:r>
      <w:r>
        <w:t xml:space="preserve">, </w:t>
      </w:r>
      <w:r w:rsidRPr="003C0BE2">
        <w:rPr>
          <w:i/>
          <w:iCs/>
        </w:rPr>
        <w:t>night sweats</w:t>
      </w:r>
      <w:r>
        <w:t xml:space="preserve">, and </w:t>
      </w:r>
      <w:r w:rsidRPr="003C0BE2">
        <w:rPr>
          <w:i/>
          <w:iCs/>
        </w:rPr>
        <w:t>vaginal dryness</w:t>
      </w:r>
      <w:r>
        <w:t xml:space="preserve"> was experienced by 46.7% (95% CI 45.2 to 48.2), 46.4% (95% CI 44.9 to 47.9) and 28.2% (95% CI 26.9 to 29.6) of wome</w:t>
      </w:r>
      <w:r w:rsidR="00CA6886">
        <w:t>n, respectively</w:t>
      </w:r>
      <w:r w:rsidR="00CA6886">
        <w:rPr>
          <w:vertAlign w:val="superscript"/>
        </w:rPr>
        <w:t>49</w:t>
      </w:r>
      <w:r w:rsidRPr="00FE4B11">
        <w:t>.</w:t>
      </w:r>
    </w:p>
    <w:p w:rsidR="00676448" w:rsidRPr="00771651" w:rsidRDefault="00676448" w:rsidP="005F2B03">
      <w:pPr>
        <w:spacing w:line="480" w:lineRule="auto"/>
        <w:jc w:val="both"/>
        <w:rPr>
          <w:b/>
          <w:bCs/>
          <w:i/>
          <w:iCs/>
        </w:rPr>
      </w:pPr>
      <w:r w:rsidRPr="00771651">
        <w:rPr>
          <w:b/>
          <w:bCs/>
          <w:i/>
          <w:iCs/>
        </w:rPr>
        <w:lastRenderedPageBreak/>
        <w:t>Factor analysis of symptoms</w:t>
      </w:r>
    </w:p>
    <w:p w:rsidR="00676448" w:rsidRPr="00277CC4" w:rsidRDefault="00676448" w:rsidP="005F2B03">
      <w:pPr>
        <w:spacing w:line="480" w:lineRule="auto"/>
        <w:jc w:val="both"/>
      </w:pPr>
      <w:r>
        <w:t>Twenty</w:t>
      </w:r>
      <w:r w:rsidRPr="00277CC4">
        <w:t xml:space="preserve"> symptoms reached the cut off point of ≥0.4 for inclusion in the factor analysis</w:t>
      </w:r>
      <w:r>
        <w:t>. Seven</w:t>
      </w:r>
      <w:r w:rsidRPr="00277CC4">
        <w:t xml:space="preserve"> factors emerged. The first factor </w:t>
      </w:r>
      <w:r>
        <w:t>comprised</w:t>
      </w:r>
      <w:r w:rsidRPr="00277CC4">
        <w:t xml:space="preserve"> of high scores on psychological symptoms</w:t>
      </w:r>
      <w:r>
        <w:t xml:space="preserve"> and</w:t>
      </w:r>
      <w:r w:rsidRPr="00277CC4">
        <w:t xml:space="preserve"> exp</w:t>
      </w:r>
      <w:r>
        <w:t>lained 11% of the variance. Six</w:t>
      </w:r>
      <w:r w:rsidRPr="00277CC4">
        <w:t xml:space="preserve"> other factors explained, in roughly equal proportions, a further 37% of the variance: sexual difficulties</w:t>
      </w:r>
      <w:r>
        <w:t>;</w:t>
      </w:r>
      <w:r w:rsidRPr="00277CC4">
        <w:t xml:space="preserve"> general somatic; vasomotor; </w:t>
      </w:r>
      <w:proofErr w:type="spellStart"/>
      <w:r w:rsidRPr="00277CC4">
        <w:t>musclo</w:t>
      </w:r>
      <w:proofErr w:type="spellEnd"/>
      <w:r w:rsidRPr="00277CC4">
        <w:t>-ske</w:t>
      </w:r>
      <w:r>
        <w:t xml:space="preserve">letal; </w:t>
      </w:r>
      <w:r w:rsidRPr="00277CC4">
        <w:t xml:space="preserve">menstrual </w:t>
      </w:r>
      <w:r>
        <w:t>and bloating symptoms</w:t>
      </w:r>
      <w:r w:rsidRPr="00277CC4">
        <w:t xml:space="preserve">. </w:t>
      </w:r>
    </w:p>
    <w:p w:rsidR="00676448" w:rsidRPr="00277CC4" w:rsidRDefault="00676448" w:rsidP="005F2B03">
      <w:pPr>
        <w:spacing w:line="480" w:lineRule="auto"/>
        <w:jc w:val="both"/>
      </w:pPr>
    </w:p>
    <w:p w:rsidR="00676448" w:rsidRDefault="00676448" w:rsidP="005F2B03">
      <w:pPr>
        <w:spacing w:line="480" w:lineRule="auto"/>
        <w:jc w:val="both"/>
      </w:pPr>
      <w:r w:rsidRPr="00AF435A">
        <w:rPr>
          <w:color w:val="0000FF"/>
        </w:rPr>
        <w:t>Table 2</w:t>
      </w:r>
      <w:r w:rsidRPr="00277CC4">
        <w:t xml:space="preserve"> shows that when examining the clustering of symptoms across the different menopausal groups</w:t>
      </w:r>
      <w:r>
        <w:t xml:space="preserve"> </w:t>
      </w:r>
      <w:r w:rsidRPr="00277CC4">
        <w:t xml:space="preserve">20 out of 23 symptoms showed consistency in the seven common factors i.e. the symptom </w:t>
      </w:r>
      <w:r>
        <w:t>contributed to</w:t>
      </w:r>
      <w:r w:rsidRPr="00277CC4">
        <w:t xml:space="preserve"> a particular factor in at least two of the four menopause groups. </w:t>
      </w:r>
      <w:r w:rsidRPr="00AF435A">
        <w:rPr>
          <w:i/>
          <w:iCs/>
        </w:rPr>
        <w:t>Memory loss</w:t>
      </w:r>
      <w:r w:rsidRPr="00F54FA2">
        <w:t xml:space="preserve">, </w:t>
      </w:r>
      <w:r w:rsidRPr="00AF435A">
        <w:rPr>
          <w:i/>
          <w:iCs/>
        </w:rPr>
        <w:t>skin problems</w:t>
      </w:r>
      <w:r w:rsidRPr="00F54FA2">
        <w:t xml:space="preserve"> and </w:t>
      </w:r>
      <w:r w:rsidRPr="00AF435A">
        <w:rPr>
          <w:i/>
          <w:iCs/>
        </w:rPr>
        <w:t>tiredness</w:t>
      </w:r>
      <w:r w:rsidRPr="00277CC4">
        <w:t xml:space="preserve"> failed to show consistency</w:t>
      </w:r>
      <w:r>
        <w:t>.</w:t>
      </w:r>
      <w:r w:rsidRPr="00277CC4">
        <w:t xml:space="preserve"> </w:t>
      </w:r>
    </w:p>
    <w:p w:rsidR="00676448" w:rsidRDefault="00676448" w:rsidP="005F2B03">
      <w:pPr>
        <w:spacing w:line="480" w:lineRule="auto"/>
        <w:jc w:val="both"/>
      </w:pPr>
    </w:p>
    <w:p w:rsidR="00676448" w:rsidRPr="00E753E9" w:rsidRDefault="00676448" w:rsidP="005F2B03">
      <w:pPr>
        <w:spacing w:line="480" w:lineRule="auto"/>
        <w:jc w:val="both"/>
        <w:rPr>
          <w:b/>
          <w:bCs/>
          <w:i/>
          <w:iCs/>
        </w:rPr>
      </w:pPr>
      <w:r>
        <w:rPr>
          <w:b/>
          <w:bCs/>
          <w:i/>
          <w:iCs/>
        </w:rPr>
        <w:t>Variables</w:t>
      </w:r>
      <w:r w:rsidRPr="00771651">
        <w:rPr>
          <w:b/>
          <w:bCs/>
          <w:i/>
          <w:iCs/>
        </w:rPr>
        <w:t xml:space="preserve"> </w:t>
      </w:r>
      <w:r>
        <w:rPr>
          <w:b/>
          <w:bCs/>
          <w:i/>
          <w:iCs/>
        </w:rPr>
        <w:t xml:space="preserve">independently </w:t>
      </w:r>
      <w:r w:rsidRPr="00771651">
        <w:rPr>
          <w:b/>
          <w:bCs/>
          <w:i/>
          <w:iCs/>
        </w:rPr>
        <w:t>associated with hot flushes, n</w:t>
      </w:r>
      <w:r>
        <w:rPr>
          <w:b/>
          <w:bCs/>
          <w:i/>
          <w:iCs/>
        </w:rPr>
        <w:t>ight sweats and vaginal dryness</w:t>
      </w:r>
      <w:r w:rsidRPr="00771651">
        <w:rPr>
          <w:b/>
          <w:bCs/>
          <w:i/>
          <w:iCs/>
        </w:rPr>
        <w:t xml:space="preserve"> </w:t>
      </w:r>
    </w:p>
    <w:p w:rsidR="00676448" w:rsidRPr="00277CC4" w:rsidRDefault="00676448" w:rsidP="005F2B03">
      <w:pPr>
        <w:spacing w:line="480" w:lineRule="auto"/>
        <w:jc w:val="both"/>
      </w:pPr>
      <w:r>
        <w:t xml:space="preserve">Numerous variables showed a significant </w:t>
      </w:r>
      <w:proofErr w:type="spellStart"/>
      <w:r>
        <w:t>univariate</w:t>
      </w:r>
      <w:proofErr w:type="spellEnd"/>
      <w:r>
        <w:t xml:space="preserve"> association with the classic menopausal symptoms. O</w:t>
      </w:r>
      <w:r w:rsidRPr="00277CC4">
        <w:t>lder</w:t>
      </w:r>
      <w:r>
        <w:t xml:space="preserve"> women</w:t>
      </w:r>
      <w:r w:rsidRPr="00277CC4">
        <w:t xml:space="preserve">; </w:t>
      </w:r>
      <w:proofErr w:type="spellStart"/>
      <w:r w:rsidRPr="00277CC4">
        <w:t>perimenopausal</w:t>
      </w:r>
      <w:proofErr w:type="spellEnd"/>
      <w:r w:rsidRPr="00277CC4">
        <w:t>, postmenopausal and surgically menopausal respondents</w:t>
      </w:r>
      <w:r>
        <w:t xml:space="preserve">, those reporting &gt;1 pregnancies; current and ex-smokers; women with a </w:t>
      </w:r>
      <w:r w:rsidRPr="00277CC4">
        <w:t>BMI ≥30</w:t>
      </w:r>
      <w:r>
        <w:t>kg/m</w:t>
      </w:r>
      <w:r>
        <w:rPr>
          <w:vertAlign w:val="superscript"/>
        </w:rPr>
        <w:t>2</w:t>
      </w:r>
      <w:r>
        <w:t xml:space="preserve">; </w:t>
      </w:r>
      <w:r w:rsidRPr="00277CC4">
        <w:t xml:space="preserve">those who reported being bothered by </w:t>
      </w:r>
      <w:r>
        <w:t xml:space="preserve">their </w:t>
      </w:r>
      <w:r w:rsidRPr="00277CC4">
        <w:t>menstrual periods in the p</w:t>
      </w:r>
      <w:r>
        <w:t>ast; those rating their self-</w:t>
      </w:r>
      <w:r w:rsidRPr="00277CC4">
        <w:t>assesse</w:t>
      </w:r>
      <w:r>
        <w:t>d health as less than excellent; women</w:t>
      </w:r>
      <w:r w:rsidRPr="00277CC4">
        <w:t xml:space="preserve"> with low physical health a</w:t>
      </w:r>
      <w:r>
        <w:t xml:space="preserve">nd mental health SF-12v2 summary scores; </w:t>
      </w:r>
      <w:r w:rsidRPr="00277CC4">
        <w:t>women w</w:t>
      </w:r>
      <w:r>
        <w:t>ith</w:t>
      </w:r>
      <w:r w:rsidRPr="00277CC4">
        <w:t xml:space="preserve"> possibl</w:t>
      </w:r>
      <w:r>
        <w:t>e</w:t>
      </w:r>
      <w:r w:rsidRPr="00277CC4">
        <w:t xml:space="preserve"> anxiety or depression;</w:t>
      </w:r>
      <w:r>
        <w:t xml:space="preserve"> those with good social support from a significant other; women reporting a history or presence of rheumatic troubles or arthritis, osteoporosis, high blood pressure, chronic bronchitis or COPD, stomach or digestive problems, cancer, mental health problems; women reporting</w:t>
      </w:r>
      <w:r w:rsidRPr="00277CC4">
        <w:t xml:space="preserve"> psychological, somatic, </w:t>
      </w:r>
      <w:proofErr w:type="spellStart"/>
      <w:r w:rsidRPr="00277CC4">
        <w:t>musculo</w:t>
      </w:r>
      <w:proofErr w:type="spellEnd"/>
      <w:r w:rsidRPr="00277CC4">
        <w:t xml:space="preserve">-skeletal, </w:t>
      </w:r>
      <w:r>
        <w:t xml:space="preserve">sexual, vasomotor or bloating </w:t>
      </w:r>
      <w:r w:rsidRPr="00277CC4">
        <w:t xml:space="preserve">symptoms in the last month; </w:t>
      </w:r>
      <w:r>
        <w:t xml:space="preserve">those who perceived their symptoms as having </w:t>
      </w:r>
      <w:r w:rsidRPr="00277CC4">
        <w:t>high consequences</w:t>
      </w:r>
      <w:r>
        <w:t xml:space="preserve"> on their lives, and </w:t>
      </w:r>
      <w:r w:rsidRPr="00277CC4">
        <w:t>those using CAMs, lifestyle str</w:t>
      </w:r>
      <w:r>
        <w:t>ategies, prescription drugs and</w:t>
      </w:r>
      <w:r w:rsidRPr="00277CC4">
        <w:t xml:space="preserve"> psychological strategies for </w:t>
      </w:r>
      <w:r w:rsidRPr="00277CC4">
        <w:lastRenderedPageBreak/>
        <w:t xml:space="preserve">managing menopausal </w:t>
      </w:r>
      <w:r>
        <w:t>symptoms</w:t>
      </w:r>
      <w:r w:rsidRPr="00277CC4">
        <w:t xml:space="preserve"> were all more likely to report</w:t>
      </w:r>
      <w:r>
        <w:t xml:space="preserve"> </w:t>
      </w:r>
      <w:r w:rsidRPr="00AF7625">
        <w:rPr>
          <w:i/>
          <w:iCs/>
        </w:rPr>
        <w:t>hot flushes</w:t>
      </w:r>
      <w:r>
        <w:t xml:space="preserve">, </w:t>
      </w:r>
      <w:r>
        <w:rPr>
          <w:i/>
          <w:iCs/>
        </w:rPr>
        <w:t xml:space="preserve">night sweats </w:t>
      </w:r>
      <w:r>
        <w:t xml:space="preserve">and/or </w:t>
      </w:r>
      <w:r>
        <w:rPr>
          <w:i/>
          <w:iCs/>
        </w:rPr>
        <w:t xml:space="preserve">vaginal dryness </w:t>
      </w:r>
      <w:r>
        <w:t xml:space="preserve">(data not shown: a table of </w:t>
      </w:r>
      <w:proofErr w:type="spellStart"/>
      <w:r>
        <w:t>univariate</w:t>
      </w:r>
      <w:proofErr w:type="spellEnd"/>
      <w:r>
        <w:t xml:space="preserve"> associations can be obtained by contacting the authors). </w:t>
      </w:r>
      <w:r w:rsidRPr="00277CC4">
        <w:t xml:space="preserve">In contrast, respondents with </w:t>
      </w:r>
      <w:r>
        <w:t>high levels of education and social support from friends and family, those in employment and</w:t>
      </w:r>
      <w:r w:rsidRPr="00277CC4">
        <w:t xml:space="preserve"> </w:t>
      </w:r>
      <w:r>
        <w:t xml:space="preserve">those with </w:t>
      </w:r>
      <w:r w:rsidRPr="00277CC4">
        <w:t>positive attitudes towards menopause were less likely to report</w:t>
      </w:r>
      <w:r>
        <w:t xml:space="preserve"> these symptoms.</w:t>
      </w:r>
    </w:p>
    <w:p w:rsidR="00676448" w:rsidRDefault="00676448" w:rsidP="005F2B03">
      <w:pPr>
        <w:spacing w:line="480" w:lineRule="auto"/>
        <w:jc w:val="both"/>
      </w:pPr>
    </w:p>
    <w:p w:rsidR="00676448" w:rsidRPr="00277CC4" w:rsidRDefault="00676448" w:rsidP="005F2B03">
      <w:pPr>
        <w:spacing w:line="480" w:lineRule="auto"/>
        <w:jc w:val="both"/>
      </w:pPr>
      <w:r>
        <w:t xml:space="preserve">After adjustment for the covariates that were significant in the </w:t>
      </w:r>
      <w:proofErr w:type="spellStart"/>
      <w:r>
        <w:t>univariate</w:t>
      </w:r>
      <w:proofErr w:type="spellEnd"/>
      <w:r>
        <w:t xml:space="preserve"> analysis, </w:t>
      </w:r>
      <w:proofErr w:type="spellStart"/>
      <w:r>
        <w:t>p</w:t>
      </w:r>
      <w:r w:rsidRPr="00277CC4">
        <w:t>erimenopausal</w:t>
      </w:r>
      <w:proofErr w:type="spellEnd"/>
      <w:r w:rsidRPr="00277CC4">
        <w:t xml:space="preserve"> respondents were significantly more likely to report </w:t>
      </w:r>
      <w:r w:rsidRPr="00AB3759">
        <w:rPr>
          <w:i/>
          <w:iCs/>
        </w:rPr>
        <w:t>hot flushes</w:t>
      </w:r>
      <w:r w:rsidRPr="00277CC4">
        <w:t xml:space="preserve"> th</w:t>
      </w:r>
      <w:r>
        <w:t>an their reference group,</w:t>
      </w:r>
      <w:r w:rsidRPr="00277CC4">
        <w:t xml:space="preserve"> as w</w:t>
      </w:r>
      <w:r>
        <w:t xml:space="preserve">ere: postmenopausal and </w:t>
      </w:r>
      <w:r w:rsidRPr="00277CC4">
        <w:t>surgically menopausal respondents</w:t>
      </w:r>
      <w:r>
        <w:t>; those with a BMI of ≥30kg/m</w:t>
      </w:r>
      <w:r>
        <w:rPr>
          <w:vertAlign w:val="superscript"/>
        </w:rPr>
        <w:t>2</w:t>
      </w:r>
      <w:r w:rsidRPr="00277CC4">
        <w:t xml:space="preserve">; those who reported experiencing two </w:t>
      </w:r>
      <w:proofErr w:type="spellStart"/>
      <w:r w:rsidRPr="00277CC4">
        <w:t>musculo</w:t>
      </w:r>
      <w:proofErr w:type="spellEnd"/>
      <w:r w:rsidRPr="00277CC4">
        <w:t>-skeletal</w:t>
      </w:r>
      <w:r>
        <w:t xml:space="preserve">, </w:t>
      </w:r>
      <w:r w:rsidRPr="00277CC4">
        <w:t>two bloating</w:t>
      </w:r>
      <w:r>
        <w:t>,</w:t>
      </w:r>
      <w:r w:rsidRPr="00277CC4">
        <w:t xml:space="preserve"> two menstrual symptoms</w:t>
      </w:r>
      <w:r>
        <w:t>, or</w:t>
      </w:r>
      <w:r w:rsidRPr="00277CC4">
        <w:t xml:space="preserve"> two sexual symptoms; </w:t>
      </w:r>
      <w:r>
        <w:t xml:space="preserve">those with </w:t>
      </w:r>
      <w:r w:rsidRPr="006F6171">
        <w:t>night sweats;</w:t>
      </w:r>
      <w:r>
        <w:t xml:space="preserve"> and those using CAM, </w:t>
      </w:r>
      <w:r w:rsidRPr="00277CC4">
        <w:t xml:space="preserve">lifestyle </w:t>
      </w:r>
      <w:r>
        <w:t>or</w:t>
      </w:r>
      <w:r w:rsidRPr="00277CC4">
        <w:t xml:space="preserve"> psychological strategies to manage their symptoms</w:t>
      </w:r>
      <w:r>
        <w:t xml:space="preserve"> (</w:t>
      </w:r>
      <w:r w:rsidRPr="006F6171">
        <w:rPr>
          <w:color w:val="0000FF"/>
        </w:rPr>
        <w:t>Table 3</w:t>
      </w:r>
      <w:r>
        <w:t>)</w:t>
      </w:r>
      <w:r w:rsidRPr="00277CC4">
        <w:t>. In contrast, women with a degree or postgraduate level of education</w:t>
      </w:r>
      <w:r>
        <w:t xml:space="preserve"> </w:t>
      </w:r>
      <w:r w:rsidRPr="00277CC4">
        <w:t xml:space="preserve">were significantly less likely to report </w:t>
      </w:r>
      <w:r w:rsidRPr="00AB3759">
        <w:rPr>
          <w:i/>
          <w:iCs/>
        </w:rPr>
        <w:t>hot flushes</w:t>
      </w:r>
      <w:r w:rsidRPr="00277CC4">
        <w:t>, as were women with moderate levels of social s</w:t>
      </w:r>
      <w:r>
        <w:t>upport from their friends</w:t>
      </w:r>
      <w:r w:rsidRPr="00277CC4">
        <w:t>.</w:t>
      </w:r>
    </w:p>
    <w:p w:rsidR="00676448" w:rsidRDefault="00676448" w:rsidP="005F2B03">
      <w:pPr>
        <w:spacing w:line="480" w:lineRule="auto"/>
        <w:jc w:val="both"/>
      </w:pPr>
    </w:p>
    <w:p w:rsidR="00676448" w:rsidRPr="00277CC4" w:rsidRDefault="00676448" w:rsidP="005F2B03">
      <w:pPr>
        <w:spacing w:line="480" w:lineRule="auto"/>
        <w:jc w:val="both"/>
      </w:pPr>
      <w:r>
        <w:t>R</w:t>
      </w:r>
      <w:r w:rsidRPr="00277CC4">
        <w:t xml:space="preserve">espondents who were current smokers were significantly more likely to report </w:t>
      </w:r>
      <w:r w:rsidRPr="00AB3759">
        <w:rPr>
          <w:i/>
          <w:iCs/>
        </w:rPr>
        <w:t>night sweats</w:t>
      </w:r>
      <w:r w:rsidRPr="00277CC4">
        <w:t xml:space="preserve"> than their reference </w:t>
      </w:r>
      <w:r>
        <w:t>group</w:t>
      </w:r>
      <w:r w:rsidRPr="00277CC4">
        <w:t xml:space="preserve">, as were: those </w:t>
      </w:r>
      <w:r>
        <w:t>with possible</w:t>
      </w:r>
      <w:r w:rsidRPr="00277CC4">
        <w:t xml:space="preserve"> depression; those report</w:t>
      </w:r>
      <w:r>
        <w:t>ing</w:t>
      </w:r>
      <w:r w:rsidRPr="00277CC4">
        <w:t xml:space="preserve"> one</w:t>
      </w:r>
      <w:r>
        <w:t xml:space="preserve"> or two</w:t>
      </w:r>
      <w:r w:rsidRPr="00277CC4">
        <w:t xml:space="preserve"> sexual symptom</w:t>
      </w:r>
      <w:r>
        <w:t xml:space="preserve">s, </w:t>
      </w:r>
      <w:r w:rsidRPr="00277CC4">
        <w:t>sleep d</w:t>
      </w:r>
      <w:r>
        <w:t>ifficulties or</w:t>
      </w:r>
      <w:r w:rsidRPr="00277CC4">
        <w:t xml:space="preserve"> </w:t>
      </w:r>
      <w:r w:rsidRPr="003D3385">
        <w:t>hot flushes</w:t>
      </w:r>
      <w:r w:rsidRPr="00277CC4">
        <w:t>; and those using lifestyle strategies t</w:t>
      </w:r>
      <w:r>
        <w:t>o manage their symptoms</w:t>
      </w:r>
      <w:r w:rsidRPr="00277CC4">
        <w:t>. In contrast, women with a BMI ≥30</w:t>
      </w:r>
      <w:r>
        <w:t>kg/m</w:t>
      </w:r>
      <w:r>
        <w:rPr>
          <w:vertAlign w:val="superscript"/>
        </w:rPr>
        <w:t>2</w:t>
      </w:r>
      <w:r w:rsidRPr="00277CC4">
        <w:t xml:space="preserve"> were less likely to report </w:t>
      </w:r>
      <w:r w:rsidRPr="00AB3759">
        <w:rPr>
          <w:i/>
          <w:iCs/>
        </w:rPr>
        <w:t>night sweats</w:t>
      </w:r>
      <w:r>
        <w:t xml:space="preserve"> than those in the reference group (BMI of &lt; 25kg/m</w:t>
      </w:r>
      <w:r>
        <w:rPr>
          <w:vertAlign w:val="superscript"/>
        </w:rPr>
        <w:t>2</w:t>
      </w:r>
      <w:r w:rsidRPr="006F3809">
        <w:t>)</w:t>
      </w:r>
      <w:r>
        <w:t>.</w:t>
      </w:r>
    </w:p>
    <w:p w:rsidR="00676448" w:rsidRDefault="00676448" w:rsidP="005F2B03">
      <w:pPr>
        <w:spacing w:line="480" w:lineRule="auto"/>
        <w:jc w:val="both"/>
      </w:pPr>
    </w:p>
    <w:p w:rsidR="00676448" w:rsidRDefault="00676448" w:rsidP="005F2B03">
      <w:pPr>
        <w:spacing w:line="480" w:lineRule="auto"/>
        <w:jc w:val="both"/>
      </w:pPr>
      <w:r>
        <w:t>R</w:t>
      </w:r>
      <w:r w:rsidRPr="00277CC4">
        <w:t xml:space="preserve">espondents who were postmenopausal were significantly more likely to report </w:t>
      </w:r>
      <w:r w:rsidRPr="00A17BDF">
        <w:rPr>
          <w:i/>
          <w:iCs/>
        </w:rPr>
        <w:t>vaginal dryness</w:t>
      </w:r>
      <w:r w:rsidRPr="00277CC4">
        <w:t xml:space="preserve"> th</w:t>
      </w:r>
      <w:r>
        <w:t>an their reference group,</w:t>
      </w:r>
      <w:r w:rsidRPr="00277CC4">
        <w:t xml:space="preserve"> as were: surgically menopau</w:t>
      </w:r>
      <w:r>
        <w:t>sal respondents</w:t>
      </w:r>
      <w:r w:rsidRPr="00277CC4">
        <w:t xml:space="preserve">; those with higher/college </w:t>
      </w:r>
      <w:r>
        <w:t>or</w:t>
      </w:r>
      <w:r w:rsidRPr="00277CC4">
        <w:t>; degree/p</w:t>
      </w:r>
      <w:r>
        <w:t>ostgraduate qualifications</w:t>
      </w:r>
      <w:r w:rsidRPr="00277CC4">
        <w:t>; those with a</w:t>
      </w:r>
      <w:r>
        <w:t xml:space="preserve"> SF-12v2</w:t>
      </w:r>
      <w:r w:rsidRPr="00277CC4">
        <w:t xml:space="preserve"> physical health summary score below the median</w:t>
      </w:r>
      <w:r>
        <w:t>; women</w:t>
      </w:r>
      <w:r w:rsidRPr="00277CC4">
        <w:t xml:space="preserve"> with moderate</w:t>
      </w:r>
      <w:r>
        <w:t xml:space="preserve"> or high levels</w:t>
      </w:r>
      <w:r w:rsidRPr="00277CC4">
        <w:t xml:space="preserve"> of social sup</w:t>
      </w:r>
      <w:r>
        <w:t xml:space="preserve">port </w:t>
      </w:r>
      <w:r>
        <w:lastRenderedPageBreak/>
        <w:t>from a significant other</w:t>
      </w:r>
      <w:r w:rsidRPr="00277CC4">
        <w:t xml:space="preserve">; </w:t>
      </w:r>
      <w:r>
        <w:t>women</w:t>
      </w:r>
      <w:r w:rsidRPr="00277CC4">
        <w:t xml:space="preserve"> reporting </w:t>
      </w:r>
      <w:r>
        <w:t>somatic symptoms,</w:t>
      </w:r>
      <w:r w:rsidRPr="00277CC4">
        <w:t xml:space="preserve"> </w:t>
      </w:r>
      <w:r w:rsidRPr="003D3385">
        <w:t>hot flushes</w:t>
      </w:r>
      <w:r>
        <w:t xml:space="preserve"> or</w:t>
      </w:r>
      <w:r w:rsidRPr="00277CC4">
        <w:t xml:space="preserve"> </w:t>
      </w:r>
      <w:r>
        <w:t>decreased sexual interest; and</w:t>
      </w:r>
      <w:r w:rsidRPr="00277CC4">
        <w:t xml:space="preserve"> those using </w:t>
      </w:r>
      <w:r>
        <w:t xml:space="preserve">lifestyle or </w:t>
      </w:r>
      <w:r w:rsidRPr="00277CC4">
        <w:t>psychological stra</w:t>
      </w:r>
      <w:r>
        <w:t>tegies to manage their symptoms.</w:t>
      </w:r>
    </w:p>
    <w:p w:rsidR="00676448" w:rsidRDefault="00676448" w:rsidP="005F2B03">
      <w:pPr>
        <w:spacing w:line="480" w:lineRule="auto"/>
        <w:jc w:val="both"/>
      </w:pPr>
    </w:p>
    <w:p w:rsidR="00676448" w:rsidRDefault="00676448" w:rsidP="005F2B03">
      <w:pPr>
        <w:spacing w:before="6" w:after="12" w:line="480" w:lineRule="auto"/>
        <w:jc w:val="both"/>
      </w:pPr>
      <w:r w:rsidRPr="006F6171">
        <w:rPr>
          <w:color w:val="0000FF"/>
        </w:rPr>
        <w:t>Box 1</w:t>
      </w:r>
      <w:r w:rsidRPr="00277CC4">
        <w:t xml:space="preserve"> summarises the </w:t>
      </w:r>
      <w:r>
        <w:t xml:space="preserve">variables </w:t>
      </w:r>
      <w:r w:rsidRPr="00277CC4">
        <w:t xml:space="preserve">shown to be independently associated with </w:t>
      </w:r>
      <w:r w:rsidRPr="00AB3759">
        <w:rPr>
          <w:i/>
          <w:iCs/>
        </w:rPr>
        <w:t>hot flushes</w:t>
      </w:r>
      <w:r w:rsidRPr="00277CC4">
        <w:t xml:space="preserve">, </w:t>
      </w:r>
      <w:r w:rsidRPr="00AB3759">
        <w:rPr>
          <w:i/>
          <w:iCs/>
        </w:rPr>
        <w:t>night sweats</w:t>
      </w:r>
      <w:r w:rsidRPr="00277CC4">
        <w:t xml:space="preserve"> and </w:t>
      </w:r>
      <w:r w:rsidRPr="00A17BDF">
        <w:rPr>
          <w:i/>
          <w:iCs/>
        </w:rPr>
        <w:t>vaginal dryness</w:t>
      </w:r>
      <w:r w:rsidRPr="00277CC4">
        <w:t xml:space="preserve">. </w:t>
      </w:r>
      <w:r>
        <w:t>A</w:t>
      </w:r>
      <w:r w:rsidRPr="00277CC4">
        <w:t xml:space="preserve">lthough </w:t>
      </w:r>
      <w:r>
        <w:t>the variables differed</w:t>
      </w:r>
      <w:r w:rsidRPr="00277CC4">
        <w:t xml:space="preserve"> depending on which symptom was being investigated, some similarities emerged. For example</w:t>
      </w:r>
      <w:r>
        <w:t>,</w:t>
      </w:r>
      <w:r w:rsidRPr="00277CC4">
        <w:t xml:space="preserve"> being postmenopausal or surgically menopausal was associated with </w:t>
      </w:r>
      <w:r w:rsidRPr="00AB3759">
        <w:rPr>
          <w:i/>
          <w:iCs/>
        </w:rPr>
        <w:t>hot flushes</w:t>
      </w:r>
      <w:r w:rsidRPr="00277CC4">
        <w:t xml:space="preserve"> and </w:t>
      </w:r>
      <w:r w:rsidRPr="00A17BDF">
        <w:rPr>
          <w:i/>
          <w:iCs/>
        </w:rPr>
        <w:t>vaginal dryness</w:t>
      </w:r>
      <w:r w:rsidRPr="00277CC4">
        <w:t xml:space="preserve">; </w:t>
      </w:r>
      <w:r>
        <w:t xml:space="preserve">reporting </w:t>
      </w:r>
      <w:r w:rsidRPr="00277CC4">
        <w:t>sexual symptoms w</w:t>
      </w:r>
      <w:r>
        <w:t>ere</w:t>
      </w:r>
      <w:r w:rsidRPr="00277CC4">
        <w:t xml:space="preserve"> associated with both </w:t>
      </w:r>
      <w:r w:rsidRPr="00AB3759">
        <w:rPr>
          <w:i/>
          <w:iCs/>
        </w:rPr>
        <w:t>hot flushes</w:t>
      </w:r>
      <w:r w:rsidRPr="00277CC4">
        <w:t xml:space="preserve"> and </w:t>
      </w:r>
      <w:r w:rsidRPr="00AB3759">
        <w:rPr>
          <w:i/>
          <w:iCs/>
        </w:rPr>
        <w:t>night sweats</w:t>
      </w:r>
      <w:r w:rsidRPr="00277CC4">
        <w:t xml:space="preserve">; </w:t>
      </w:r>
      <w:r w:rsidRPr="006F3809">
        <w:rPr>
          <w:i/>
          <w:iCs/>
        </w:rPr>
        <w:t>hot flushes</w:t>
      </w:r>
      <w:r w:rsidRPr="00277CC4">
        <w:t xml:space="preserve"> </w:t>
      </w:r>
      <w:r>
        <w:t>was</w:t>
      </w:r>
      <w:r w:rsidRPr="00277CC4">
        <w:t xml:space="preserve"> associated with both </w:t>
      </w:r>
      <w:r w:rsidRPr="00AB3759">
        <w:rPr>
          <w:i/>
          <w:iCs/>
        </w:rPr>
        <w:t>night sweats</w:t>
      </w:r>
      <w:r w:rsidRPr="00277CC4">
        <w:t xml:space="preserve"> and </w:t>
      </w:r>
      <w:r w:rsidRPr="00A17BDF">
        <w:rPr>
          <w:i/>
          <w:iCs/>
        </w:rPr>
        <w:t>vaginal dryness</w:t>
      </w:r>
      <w:r w:rsidRPr="00277CC4">
        <w:t xml:space="preserve">; and using lifestyle strategies to manage symptoms was associated with </w:t>
      </w:r>
      <w:r>
        <w:t>all</w:t>
      </w:r>
      <w:r w:rsidRPr="00277CC4">
        <w:t xml:space="preserve"> of the classic symptoms. In contrast, a high BMI was associated with being more likely to report </w:t>
      </w:r>
      <w:r w:rsidRPr="00AB3759">
        <w:rPr>
          <w:i/>
          <w:iCs/>
        </w:rPr>
        <w:t>hot flushes</w:t>
      </w:r>
      <w:r w:rsidRPr="006F6171">
        <w:t>,</w:t>
      </w:r>
      <w:r>
        <w:rPr>
          <w:i/>
          <w:iCs/>
        </w:rPr>
        <w:t xml:space="preserve"> </w:t>
      </w:r>
      <w:r>
        <w:t>but</w:t>
      </w:r>
      <w:r w:rsidRPr="00277CC4">
        <w:t xml:space="preserve"> less likely to report </w:t>
      </w:r>
      <w:r w:rsidRPr="00AB3759">
        <w:rPr>
          <w:i/>
          <w:iCs/>
        </w:rPr>
        <w:t>night sweats</w:t>
      </w:r>
      <w:r w:rsidRPr="00277CC4">
        <w:t xml:space="preserve">. Similarly, social support from friends was associated with a decreased likelihood of reporting </w:t>
      </w:r>
      <w:r w:rsidRPr="00AB3759">
        <w:rPr>
          <w:i/>
          <w:iCs/>
        </w:rPr>
        <w:t>hot flushes</w:t>
      </w:r>
      <w:r w:rsidRPr="00277CC4">
        <w:t xml:space="preserve">, whilst social support from </w:t>
      </w:r>
      <w:r>
        <w:t xml:space="preserve">a </w:t>
      </w:r>
      <w:r w:rsidRPr="00277CC4">
        <w:t xml:space="preserve">significant other was associated with increased likelihood of reporting </w:t>
      </w:r>
      <w:r w:rsidRPr="00A17BDF">
        <w:rPr>
          <w:i/>
          <w:iCs/>
        </w:rPr>
        <w:t>vaginal dryness</w:t>
      </w:r>
      <w:r w:rsidRPr="00277CC4">
        <w:t xml:space="preserve">. </w:t>
      </w:r>
    </w:p>
    <w:p w:rsidR="00412970" w:rsidRDefault="00412970" w:rsidP="005F2B03">
      <w:pPr>
        <w:spacing w:before="6" w:after="12" w:line="480" w:lineRule="auto"/>
        <w:jc w:val="both"/>
        <w:rPr>
          <w:b/>
          <w:bCs/>
        </w:rPr>
      </w:pPr>
    </w:p>
    <w:p w:rsidR="00676448" w:rsidRPr="00771651" w:rsidRDefault="00676448" w:rsidP="005F2B03">
      <w:pPr>
        <w:spacing w:before="6" w:after="12" w:line="480" w:lineRule="auto"/>
        <w:jc w:val="both"/>
        <w:rPr>
          <w:b/>
          <w:bCs/>
        </w:rPr>
      </w:pPr>
      <w:r w:rsidRPr="00771651">
        <w:rPr>
          <w:b/>
          <w:bCs/>
        </w:rPr>
        <w:t>Discussion</w:t>
      </w:r>
    </w:p>
    <w:p w:rsidR="00676448" w:rsidRPr="007076F6" w:rsidRDefault="00676448" w:rsidP="005F2B03">
      <w:pPr>
        <w:spacing w:after="120" w:line="480" w:lineRule="auto"/>
        <w:jc w:val="both"/>
      </w:pPr>
      <w:r>
        <w:t xml:space="preserve">Results from this cross-sectional community based survey identified a number of modifiable variables such as current smoking, BMI and social support, associated with women experiencing one or more of the classic menopausal symptoms. We found that although </w:t>
      </w:r>
      <w:r w:rsidRPr="00094829">
        <w:rPr>
          <w:i/>
          <w:iCs/>
        </w:rPr>
        <w:t>hot flushes</w:t>
      </w:r>
      <w:r>
        <w:t xml:space="preserve"> and </w:t>
      </w:r>
      <w:r w:rsidRPr="00094829">
        <w:rPr>
          <w:i/>
          <w:iCs/>
        </w:rPr>
        <w:t>night sweats</w:t>
      </w:r>
      <w:r>
        <w:t xml:space="preserve"> clustered together in the factor analysis (labelled as vasomotor symptoms)</w:t>
      </w:r>
      <w:proofErr w:type="gramStart"/>
      <w:r>
        <w:t>,</w:t>
      </w:r>
      <w:proofErr w:type="gramEnd"/>
      <w:r>
        <w:t xml:space="preserve"> variables independently associated with each symptom </w:t>
      </w:r>
      <w:r w:rsidRPr="00283A52">
        <w:t xml:space="preserve">varied depending on the symptom investigated. </w:t>
      </w:r>
      <w:r>
        <w:t xml:space="preserve">Similarly, variables associated with </w:t>
      </w:r>
      <w:r w:rsidRPr="00094829">
        <w:rPr>
          <w:i/>
          <w:iCs/>
        </w:rPr>
        <w:t>vaginal dryness</w:t>
      </w:r>
      <w:r>
        <w:t xml:space="preserve">, also a symptom of oestrogen decline, differed from those of </w:t>
      </w:r>
      <w:r w:rsidRPr="00094829">
        <w:rPr>
          <w:i/>
          <w:iCs/>
        </w:rPr>
        <w:t>hot flushes</w:t>
      </w:r>
      <w:r>
        <w:t xml:space="preserve"> and </w:t>
      </w:r>
      <w:r w:rsidRPr="00094829">
        <w:rPr>
          <w:i/>
          <w:iCs/>
        </w:rPr>
        <w:t>night sweats</w:t>
      </w:r>
      <w:r>
        <w:t xml:space="preserve">. </w:t>
      </w:r>
    </w:p>
    <w:p w:rsidR="00676448" w:rsidRPr="00771651" w:rsidRDefault="00412970" w:rsidP="005F2B03">
      <w:pPr>
        <w:spacing w:before="100" w:beforeAutospacing="1" w:after="120" w:line="480" w:lineRule="auto"/>
        <w:jc w:val="both"/>
        <w:rPr>
          <w:b/>
          <w:bCs/>
          <w:i/>
          <w:iCs/>
        </w:rPr>
      </w:pPr>
      <w:r>
        <w:rPr>
          <w:b/>
          <w:bCs/>
          <w:i/>
          <w:iCs/>
        </w:rPr>
        <w:br w:type="page"/>
      </w:r>
      <w:r w:rsidR="00676448" w:rsidRPr="00771651">
        <w:rPr>
          <w:b/>
          <w:bCs/>
          <w:i/>
          <w:iCs/>
        </w:rPr>
        <w:lastRenderedPageBreak/>
        <w:t>Menopausal status</w:t>
      </w:r>
    </w:p>
    <w:p w:rsidR="00676448" w:rsidRDefault="00676448" w:rsidP="005F2B03">
      <w:pPr>
        <w:spacing w:line="480" w:lineRule="auto"/>
        <w:jc w:val="both"/>
      </w:pPr>
      <w:r>
        <w:t xml:space="preserve">We found that </w:t>
      </w:r>
      <w:r w:rsidRPr="00283A52">
        <w:t>menopausal status was independently associated with</w:t>
      </w:r>
      <w:r>
        <w:t xml:space="preserve"> the</w:t>
      </w:r>
      <w:r w:rsidRPr="00283A52">
        <w:t xml:space="preserve"> reporting</w:t>
      </w:r>
      <w:r>
        <w:t xml:space="preserve"> of</w:t>
      </w:r>
      <w:r w:rsidRPr="00283A52">
        <w:t xml:space="preserve"> </w:t>
      </w:r>
      <w:r w:rsidRPr="00AB3759">
        <w:rPr>
          <w:i/>
          <w:iCs/>
        </w:rPr>
        <w:t>hot flushes</w:t>
      </w:r>
      <w:r w:rsidRPr="00283A52">
        <w:t xml:space="preserve"> and </w:t>
      </w:r>
      <w:r w:rsidRPr="00A17BDF">
        <w:rPr>
          <w:i/>
          <w:iCs/>
        </w:rPr>
        <w:t>vaginal dryness</w:t>
      </w:r>
      <w:r>
        <w:t>,</w:t>
      </w:r>
      <w:r w:rsidRPr="00283A52">
        <w:t xml:space="preserve"> </w:t>
      </w:r>
      <w:r>
        <w:t xml:space="preserve">but </w:t>
      </w:r>
      <w:r w:rsidRPr="00283A52">
        <w:t>no</w:t>
      </w:r>
      <w:r>
        <w:t>t</w:t>
      </w:r>
      <w:r w:rsidRPr="00283A52">
        <w:t xml:space="preserve"> </w:t>
      </w:r>
      <w:r w:rsidRPr="00AB3759">
        <w:rPr>
          <w:i/>
          <w:iCs/>
        </w:rPr>
        <w:t>night sweats</w:t>
      </w:r>
      <w:r w:rsidRPr="00283A52">
        <w:t>.</w:t>
      </w:r>
      <w:r>
        <w:t xml:space="preserve"> </w:t>
      </w:r>
      <w:proofErr w:type="spellStart"/>
      <w:r w:rsidRPr="00283A52">
        <w:t>Perimenopausal</w:t>
      </w:r>
      <w:proofErr w:type="spellEnd"/>
      <w:r w:rsidRPr="00283A52">
        <w:t xml:space="preserve">, postmenopausal and surgically menopausal women were all more likely to report </w:t>
      </w:r>
      <w:r w:rsidRPr="00AB3759">
        <w:rPr>
          <w:i/>
          <w:iCs/>
        </w:rPr>
        <w:t>hot flushes</w:t>
      </w:r>
      <w:r w:rsidRPr="00283A52">
        <w:t xml:space="preserve"> than premenopausal women. In contrast, only postmenopausal and surgically menopausal respondents </w:t>
      </w:r>
      <w:r>
        <w:t xml:space="preserve">were </w:t>
      </w:r>
      <w:r w:rsidRPr="00283A52">
        <w:t xml:space="preserve">more likely to report </w:t>
      </w:r>
      <w:r w:rsidRPr="00A17BDF">
        <w:rPr>
          <w:i/>
          <w:iCs/>
        </w:rPr>
        <w:t>vaginal dryness</w:t>
      </w:r>
      <w:r w:rsidRPr="00283A52">
        <w:t xml:space="preserve">. </w:t>
      </w:r>
      <w:r w:rsidR="00953A90">
        <w:t>Although during the first phase of the Study of Women’s Health Across the Nation (SWAN</w:t>
      </w:r>
      <w:proofErr w:type="gramStart"/>
      <w:r w:rsidR="00953A90">
        <w:t>)</w:t>
      </w:r>
      <w:r w:rsidR="00953A90">
        <w:rPr>
          <w:vertAlign w:val="superscript"/>
        </w:rPr>
        <w:t>8</w:t>
      </w:r>
      <w:proofErr w:type="gramEnd"/>
      <w:r w:rsidR="00953A90">
        <w:rPr>
          <w:vertAlign w:val="superscript"/>
        </w:rPr>
        <w:t xml:space="preserve"> </w:t>
      </w:r>
      <w:r w:rsidR="00953A90">
        <w:t xml:space="preserve">over half of the participants were premenopausal or in early </w:t>
      </w:r>
      <w:proofErr w:type="spellStart"/>
      <w:r w:rsidR="00953A90">
        <w:t>perimenopause</w:t>
      </w:r>
      <w:proofErr w:type="spellEnd"/>
      <w:r w:rsidR="00953A90">
        <w:t xml:space="preserve">, both early and late </w:t>
      </w:r>
      <w:proofErr w:type="spellStart"/>
      <w:r w:rsidR="00953A90">
        <w:t>perimenopausal</w:t>
      </w:r>
      <w:proofErr w:type="spellEnd"/>
      <w:r w:rsidR="00953A90">
        <w:t xml:space="preserve"> women</w:t>
      </w:r>
      <w:r w:rsidR="00173402">
        <w:t xml:space="preserve"> together with postmenopausal and surgically menopausal women</w:t>
      </w:r>
      <w:r w:rsidR="00953A90">
        <w:t xml:space="preserve"> were more likely to report </w:t>
      </w:r>
      <w:r w:rsidR="00953A90">
        <w:rPr>
          <w:i/>
        </w:rPr>
        <w:t xml:space="preserve">vaginal </w:t>
      </w:r>
      <w:r w:rsidR="00953A90" w:rsidRPr="00953A90">
        <w:rPr>
          <w:i/>
        </w:rPr>
        <w:t>dryness</w:t>
      </w:r>
      <w:r w:rsidR="00953A90">
        <w:t xml:space="preserve">. However, </w:t>
      </w:r>
      <w:proofErr w:type="spellStart"/>
      <w:r w:rsidR="008C7E66" w:rsidRPr="00953A90">
        <w:t>Dennerstein</w:t>
      </w:r>
      <w:proofErr w:type="spellEnd"/>
      <w:r w:rsidR="008C7E66">
        <w:t xml:space="preserve"> and colleagues found that the prevalence of vaginal dryness increased exponentially with time from the late </w:t>
      </w:r>
      <w:proofErr w:type="spellStart"/>
      <w:r w:rsidR="008C7E66">
        <w:t>perimenopause</w:t>
      </w:r>
      <w:proofErr w:type="spellEnd"/>
      <w:r w:rsidR="008C7E66">
        <w:t xml:space="preserve"> </w:t>
      </w:r>
      <w:r w:rsidR="00953A90">
        <w:t>suggesting that this symptom was a later consequence of hormonal changes occurring during the menopause transition.</w:t>
      </w:r>
      <w:r w:rsidR="00D533B4">
        <w:rPr>
          <w:vertAlign w:val="superscript"/>
        </w:rPr>
        <w:t>50</w:t>
      </w:r>
      <w:r w:rsidR="00953A90">
        <w:t xml:space="preserve"> </w:t>
      </w:r>
      <w:proofErr w:type="gramStart"/>
      <w:r w:rsidR="00953A90">
        <w:t>Our</w:t>
      </w:r>
      <w:proofErr w:type="gramEnd"/>
      <w:r w:rsidR="00953A90">
        <w:t xml:space="preserve"> findings concur with this theory. </w:t>
      </w:r>
      <w:r>
        <w:t>A narrative</w:t>
      </w:r>
      <w:r w:rsidRPr="00283A52">
        <w:t xml:space="preserve"> literature review of 12 community-based longitudinal studies </w:t>
      </w:r>
      <w:r>
        <w:t>found the</w:t>
      </w:r>
      <w:r w:rsidRPr="00283A52">
        <w:t xml:space="preserve"> peak prevalence of </w:t>
      </w:r>
      <w:r w:rsidRPr="00AB3759">
        <w:rPr>
          <w:i/>
          <w:iCs/>
        </w:rPr>
        <w:t>hot flushes</w:t>
      </w:r>
      <w:r>
        <w:t xml:space="preserve"> to be during the</w:t>
      </w:r>
      <w:r w:rsidRPr="00283A52">
        <w:t xml:space="preserve"> late </w:t>
      </w:r>
      <w:proofErr w:type="spellStart"/>
      <w:r w:rsidRPr="00283A52">
        <w:t>perimenopause</w:t>
      </w:r>
      <w:proofErr w:type="spellEnd"/>
      <w:r w:rsidRPr="00283A52">
        <w:t xml:space="preserve"> and early </w:t>
      </w:r>
      <w:proofErr w:type="spellStart"/>
      <w:r w:rsidRPr="00283A52">
        <w:t>postmenopause</w:t>
      </w:r>
      <w:proofErr w:type="spellEnd"/>
      <w:r>
        <w:t xml:space="preserve"> period</w:t>
      </w:r>
      <w:r w:rsidRPr="00283A52">
        <w:t xml:space="preserve">, and the </w:t>
      </w:r>
      <w:r>
        <w:t xml:space="preserve">peak </w:t>
      </w:r>
      <w:r w:rsidRPr="00283A52">
        <w:t xml:space="preserve">prevalence of </w:t>
      </w:r>
      <w:r w:rsidRPr="00A17BDF">
        <w:rPr>
          <w:i/>
          <w:iCs/>
        </w:rPr>
        <w:t>vaginal dryness</w:t>
      </w:r>
      <w:r w:rsidRPr="00283A52">
        <w:t xml:space="preserve"> </w:t>
      </w:r>
      <w:r>
        <w:t xml:space="preserve">in the </w:t>
      </w:r>
      <w:proofErr w:type="spellStart"/>
      <w:r w:rsidRPr="00283A52">
        <w:t>postmenopause</w:t>
      </w:r>
      <w:proofErr w:type="spellEnd"/>
      <w:r>
        <w:t xml:space="preserve"> </w:t>
      </w:r>
      <w:r w:rsidR="00D533B4">
        <w:t>period</w:t>
      </w:r>
      <w:r w:rsidR="00D533B4">
        <w:rPr>
          <w:vertAlign w:val="superscript"/>
        </w:rPr>
        <w:t>51</w:t>
      </w:r>
      <w:r>
        <w:t>. A</w:t>
      </w:r>
      <w:r w:rsidRPr="00283A52">
        <w:t xml:space="preserve"> </w:t>
      </w:r>
      <w:r>
        <w:t>meta-analysis of 10 studies</w:t>
      </w:r>
      <w:r w:rsidRPr="00283A52">
        <w:t xml:space="preserve"> found that vasomotor symptoms (</w:t>
      </w:r>
      <w:r w:rsidRPr="00AB3759">
        <w:rPr>
          <w:i/>
          <w:iCs/>
        </w:rPr>
        <w:t>hot flushes</w:t>
      </w:r>
      <w:r w:rsidRPr="00283A52">
        <w:t xml:space="preserve"> and </w:t>
      </w:r>
      <w:r w:rsidRPr="00AB3759">
        <w:rPr>
          <w:i/>
          <w:iCs/>
        </w:rPr>
        <w:t>night sweats</w:t>
      </w:r>
      <w:r>
        <w:t xml:space="preserve"> combined</w:t>
      </w:r>
      <w:r w:rsidRPr="00283A52">
        <w:t xml:space="preserve">) peaked </w:t>
      </w:r>
      <w:r>
        <w:t>approximately one year after final menstrual period</w:t>
      </w:r>
      <w:r w:rsidRPr="002B6A65">
        <w:rPr>
          <w:vertAlign w:val="superscript"/>
        </w:rPr>
        <w:t>3</w:t>
      </w:r>
      <w:r>
        <w:rPr>
          <w:vertAlign w:val="superscript"/>
        </w:rPr>
        <w:t>3</w:t>
      </w:r>
      <w:r w:rsidRPr="00283A52">
        <w:t xml:space="preserve">. </w:t>
      </w:r>
      <w:r>
        <w:t xml:space="preserve">However, few studies have investigated the association between </w:t>
      </w:r>
      <w:r w:rsidRPr="00334DFA">
        <w:rPr>
          <w:i/>
          <w:iCs/>
        </w:rPr>
        <w:t xml:space="preserve">night sweats </w:t>
      </w:r>
      <w:r>
        <w:t xml:space="preserve">and menopausal status. </w:t>
      </w:r>
    </w:p>
    <w:p w:rsidR="00676448" w:rsidRDefault="00676448" w:rsidP="005F2B03">
      <w:pPr>
        <w:spacing w:line="480" w:lineRule="auto"/>
        <w:jc w:val="both"/>
      </w:pPr>
    </w:p>
    <w:p w:rsidR="00676448" w:rsidRPr="00771651" w:rsidRDefault="00676448" w:rsidP="005F2B03">
      <w:pPr>
        <w:spacing w:line="480" w:lineRule="auto"/>
        <w:jc w:val="both"/>
        <w:rPr>
          <w:b/>
          <w:bCs/>
          <w:i/>
          <w:iCs/>
        </w:rPr>
      </w:pPr>
      <w:r w:rsidRPr="00771651">
        <w:rPr>
          <w:b/>
          <w:bCs/>
          <w:i/>
          <w:iCs/>
        </w:rPr>
        <w:t>Socio-demographic characteristics</w:t>
      </w:r>
    </w:p>
    <w:p w:rsidR="00676448" w:rsidRDefault="00676448" w:rsidP="005F2B03">
      <w:pPr>
        <w:spacing w:line="480" w:lineRule="auto"/>
        <w:jc w:val="both"/>
      </w:pPr>
      <w:r w:rsidRPr="00283A52">
        <w:t>Whil</w:t>
      </w:r>
      <w:r>
        <w:t xml:space="preserve">st it has been reported </w:t>
      </w:r>
      <w:r w:rsidRPr="00283A52">
        <w:t>that women in full</w:t>
      </w:r>
      <w:r>
        <w:t>-</w:t>
      </w:r>
      <w:r w:rsidRPr="00283A52">
        <w:t>time employment may be less li</w:t>
      </w:r>
      <w:r>
        <w:t>kely to experience the classic</w:t>
      </w:r>
      <w:r w:rsidRPr="00283A52">
        <w:t xml:space="preserve"> menopausal symptoms, compared to those who are unemployed or in part-time empl</w:t>
      </w:r>
      <w:r>
        <w:t>oyment</w:t>
      </w:r>
      <w:r>
        <w:rPr>
          <w:vertAlign w:val="superscript"/>
        </w:rPr>
        <w:t>9-11</w:t>
      </w:r>
      <w:r w:rsidRPr="00283A52">
        <w:t xml:space="preserve">, </w:t>
      </w:r>
      <w:r>
        <w:t>in accordance with the S</w:t>
      </w:r>
      <w:r w:rsidR="00953A90">
        <w:t xml:space="preserve">WAN </w:t>
      </w:r>
      <w:r>
        <w:rPr>
          <w:vertAlign w:val="superscript"/>
        </w:rPr>
        <w:t>8</w:t>
      </w:r>
      <w:r>
        <w:t xml:space="preserve"> we did not find a significant relationship between</w:t>
      </w:r>
      <w:r w:rsidRPr="00283A52">
        <w:t xml:space="preserve"> employment and</w:t>
      </w:r>
      <w:r>
        <w:t xml:space="preserve"> the classic menopausal symptoms.</w:t>
      </w:r>
    </w:p>
    <w:p w:rsidR="00676448" w:rsidRPr="00730F88" w:rsidRDefault="00676448" w:rsidP="005F2B03">
      <w:pPr>
        <w:spacing w:line="480" w:lineRule="auto"/>
        <w:jc w:val="both"/>
      </w:pPr>
      <w:r>
        <w:lastRenderedPageBreak/>
        <w:t>In our study, w</w:t>
      </w:r>
      <w:r w:rsidRPr="00283A52">
        <w:t xml:space="preserve">omen with a high level of educational attainment were significantly less likely to report </w:t>
      </w:r>
      <w:r w:rsidRPr="00AB3759">
        <w:rPr>
          <w:i/>
          <w:iCs/>
        </w:rPr>
        <w:t>hot flushes</w:t>
      </w:r>
      <w:r w:rsidRPr="00AB20D5">
        <w:t>,</w:t>
      </w:r>
      <w:r>
        <w:rPr>
          <w:i/>
          <w:iCs/>
        </w:rPr>
        <w:t xml:space="preserve"> </w:t>
      </w:r>
      <w:r w:rsidRPr="00283A52">
        <w:t xml:space="preserve">compared to women with low educational attainment. In contrast, women with moderate or high level of educational attainment were more likely to report </w:t>
      </w:r>
      <w:r w:rsidRPr="00A17BDF">
        <w:rPr>
          <w:i/>
          <w:iCs/>
        </w:rPr>
        <w:t>vaginal dryness</w:t>
      </w:r>
      <w:r w:rsidRPr="00283A52">
        <w:t xml:space="preserve">. Although </w:t>
      </w:r>
      <w:r>
        <w:t xml:space="preserve">others </w:t>
      </w:r>
      <w:r w:rsidRPr="00283A52">
        <w:t xml:space="preserve">have suggested an association between </w:t>
      </w:r>
      <w:r w:rsidRPr="00AB3759">
        <w:rPr>
          <w:i/>
          <w:iCs/>
        </w:rPr>
        <w:t>hot flushes</w:t>
      </w:r>
      <w:r w:rsidRPr="00283A52">
        <w:t xml:space="preserve"> and educati</w:t>
      </w:r>
      <w:r>
        <w:t>onal attainment</w:t>
      </w:r>
      <w:r>
        <w:rPr>
          <w:vertAlign w:val="superscript"/>
        </w:rPr>
        <w:t>7, 11, 36</w:t>
      </w:r>
      <w:r>
        <w:t>, we have been unable to identify other studies that have found a significant relationship</w:t>
      </w:r>
      <w:r w:rsidRPr="00283A52">
        <w:t xml:space="preserve"> between high educational attainment and reporting of </w:t>
      </w:r>
      <w:r w:rsidRPr="00A17BDF">
        <w:rPr>
          <w:i/>
          <w:iCs/>
        </w:rPr>
        <w:t>vaginal dryness</w:t>
      </w:r>
      <w:r w:rsidRPr="00283A52">
        <w:t>.</w:t>
      </w:r>
      <w:r>
        <w:t xml:space="preserve"> </w:t>
      </w:r>
    </w:p>
    <w:p w:rsidR="00676448" w:rsidRDefault="00676448" w:rsidP="005F2B03">
      <w:pPr>
        <w:spacing w:line="480" w:lineRule="auto"/>
        <w:jc w:val="both"/>
      </w:pPr>
    </w:p>
    <w:p w:rsidR="00676448" w:rsidRDefault="00676448" w:rsidP="005F2B03">
      <w:pPr>
        <w:spacing w:line="480" w:lineRule="auto"/>
        <w:jc w:val="both"/>
        <w:rPr>
          <w:b/>
          <w:bCs/>
          <w:i/>
          <w:iCs/>
        </w:rPr>
      </w:pPr>
      <w:r w:rsidRPr="00771651">
        <w:rPr>
          <w:b/>
          <w:bCs/>
          <w:i/>
          <w:iCs/>
        </w:rPr>
        <w:t xml:space="preserve">Lifestyle </w:t>
      </w:r>
    </w:p>
    <w:p w:rsidR="00676448" w:rsidRDefault="00676448" w:rsidP="005F2B03">
      <w:pPr>
        <w:spacing w:line="480" w:lineRule="auto"/>
        <w:jc w:val="both"/>
      </w:pPr>
      <w:r w:rsidRPr="00283A52">
        <w:t xml:space="preserve">Two </w:t>
      </w:r>
      <w:r>
        <w:t xml:space="preserve">conflicting </w:t>
      </w:r>
      <w:r w:rsidRPr="00283A52">
        <w:t xml:space="preserve">theories have been used to explain </w:t>
      </w:r>
      <w:r>
        <w:t xml:space="preserve">a possible </w:t>
      </w:r>
      <w:r w:rsidRPr="00283A52">
        <w:t xml:space="preserve">relationship between BMI and </w:t>
      </w:r>
      <w:r w:rsidRPr="005D34EC">
        <w:rPr>
          <w:i/>
          <w:iCs/>
        </w:rPr>
        <w:t>hot flush</w:t>
      </w:r>
      <w:r>
        <w:rPr>
          <w:i/>
          <w:iCs/>
        </w:rPr>
        <w:t>es</w:t>
      </w:r>
      <w:r>
        <w:t xml:space="preserve"> or </w:t>
      </w:r>
      <w:r w:rsidRPr="005D34EC">
        <w:rPr>
          <w:i/>
          <w:iCs/>
        </w:rPr>
        <w:t>night sweat</w:t>
      </w:r>
      <w:r>
        <w:rPr>
          <w:i/>
          <w:iCs/>
        </w:rPr>
        <w:t>s</w:t>
      </w:r>
      <w:r>
        <w:t xml:space="preserve">. </w:t>
      </w:r>
      <w:r w:rsidRPr="000C601B">
        <w:t xml:space="preserve">The “thin hypothesis” proposes that women with a higher body weight have a reduced risk of experiencing vasomotor symptoms because </w:t>
      </w:r>
      <w:r>
        <w:t xml:space="preserve">they have </w:t>
      </w:r>
      <w:r w:rsidRPr="000C601B">
        <w:t>higher oestrogen concentrations</w:t>
      </w:r>
      <w:r>
        <w:t xml:space="preserve"> (produced </w:t>
      </w:r>
      <w:r w:rsidRPr="000C601B">
        <w:t>in adipose tissue</w:t>
      </w:r>
      <w:r>
        <w:t>)</w:t>
      </w:r>
      <w:r w:rsidRPr="000C601B">
        <w:t xml:space="preserve"> than lig</w:t>
      </w:r>
      <w:r>
        <w:t>hter women</w:t>
      </w:r>
      <w:r w:rsidRPr="00927452">
        <w:rPr>
          <w:vertAlign w:val="superscript"/>
        </w:rPr>
        <w:t>3</w:t>
      </w:r>
      <w:r>
        <w:rPr>
          <w:vertAlign w:val="superscript"/>
        </w:rPr>
        <w:t>8</w:t>
      </w:r>
      <w:r w:rsidRPr="000C601B">
        <w:t xml:space="preserve">. In contrast, the “thermoregulatory model” </w:t>
      </w:r>
      <w:r>
        <w:t>propos</w:t>
      </w:r>
      <w:r w:rsidRPr="000C601B">
        <w:t xml:space="preserve">es that adipose tissue acts as an insulator preventing heat dissipation, so heavier women </w:t>
      </w:r>
      <w:r>
        <w:t xml:space="preserve">might </w:t>
      </w:r>
      <w:r w:rsidRPr="000C601B">
        <w:t xml:space="preserve">experience more </w:t>
      </w:r>
      <w:r w:rsidRPr="00AB3759">
        <w:rPr>
          <w:i/>
          <w:iCs/>
        </w:rPr>
        <w:t>hot flushes</w:t>
      </w:r>
      <w:r w:rsidRPr="000C601B">
        <w:t xml:space="preserve"> and/or </w:t>
      </w:r>
      <w:r w:rsidRPr="00AB3759">
        <w:rPr>
          <w:i/>
          <w:iCs/>
        </w:rPr>
        <w:t>night sweats</w:t>
      </w:r>
      <w:r w:rsidRPr="000C601B">
        <w:t xml:space="preserve"> </w:t>
      </w:r>
      <w:r>
        <w:t xml:space="preserve">than lighter </w:t>
      </w:r>
      <w:r w:rsidR="00D533B4">
        <w:t>women</w:t>
      </w:r>
      <w:r w:rsidR="00D533B4">
        <w:rPr>
          <w:vertAlign w:val="superscript"/>
        </w:rPr>
        <w:t>52</w:t>
      </w:r>
      <w:r w:rsidRPr="000C601B">
        <w:t>.</w:t>
      </w:r>
      <w:r>
        <w:t xml:space="preserve"> </w:t>
      </w:r>
      <w:r w:rsidRPr="00283A52">
        <w:t xml:space="preserve">The </w:t>
      </w:r>
      <w:r>
        <w:t xml:space="preserve">relationship </w:t>
      </w:r>
      <w:r w:rsidRPr="00283A52">
        <w:t xml:space="preserve">between BMI and </w:t>
      </w:r>
      <w:r>
        <w:t xml:space="preserve">these </w:t>
      </w:r>
      <w:r w:rsidRPr="00283A52">
        <w:t>symptoms</w:t>
      </w:r>
      <w:r>
        <w:t xml:space="preserve"> in our study was conflicting. A </w:t>
      </w:r>
      <w:r w:rsidRPr="00283A52">
        <w:t>high BMI (≥30</w:t>
      </w:r>
      <w:r>
        <w:t>kg/m</w:t>
      </w:r>
      <w:r>
        <w:rPr>
          <w:vertAlign w:val="superscript"/>
        </w:rPr>
        <w:t>2</w:t>
      </w:r>
      <w:r w:rsidRPr="00283A52">
        <w:t xml:space="preserve">) was associated with </w:t>
      </w:r>
      <w:r>
        <w:t xml:space="preserve">women </w:t>
      </w:r>
      <w:r w:rsidRPr="00283A52">
        <w:t xml:space="preserve">being more likely to report </w:t>
      </w:r>
      <w:r w:rsidRPr="00AB3759">
        <w:rPr>
          <w:i/>
          <w:iCs/>
        </w:rPr>
        <w:t>hot flushes</w:t>
      </w:r>
      <w:r>
        <w:t>, thereby</w:t>
      </w:r>
      <w:r w:rsidRPr="00283A52">
        <w:t xml:space="preserve"> supporting the “thermoregula</w:t>
      </w:r>
      <w:r>
        <w:t xml:space="preserve">tory model” </w:t>
      </w:r>
      <w:r>
        <w:rPr>
          <w:vertAlign w:val="superscript"/>
        </w:rPr>
        <w:t xml:space="preserve">6, </w:t>
      </w:r>
      <w:r w:rsidRPr="00927452">
        <w:rPr>
          <w:vertAlign w:val="superscript"/>
        </w:rPr>
        <w:t>1</w:t>
      </w:r>
      <w:r>
        <w:rPr>
          <w:vertAlign w:val="superscript"/>
        </w:rPr>
        <w:t>2-13, 16,23,31,38</w:t>
      </w:r>
      <w:r>
        <w:t>. On the other hand,</w:t>
      </w:r>
      <w:r w:rsidRPr="00283A52">
        <w:t xml:space="preserve"> a high BMI was associated with </w:t>
      </w:r>
      <w:r>
        <w:t xml:space="preserve">a reduced likelihood of </w:t>
      </w:r>
      <w:r w:rsidRPr="00283A52">
        <w:t>report</w:t>
      </w:r>
      <w:r>
        <w:t>ing</w:t>
      </w:r>
      <w:r w:rsidRPr="00283A52">
        <w:t xml:space="preserve"> </w:t>
      </w:r>
      <w:r w:rsidRPr="00AB3759">
        <w:rPr>
          <w:i/>
          <w:iCs/>
        </w:rPr>
        <w:t>night sweats</w:t>
      </w:r>
      <w:r w:rsidRPr="00283A52">
        <w:t>, supporting the “thin hyp</w:t>
      </w:r>
      <w:r>
        <w:t xml:space="preserve">othesis” </w:t>
      </w:r>
      <w:r w:rsidR="00D533B4" w:rsidRPr="00927452">
        <w:rPr>
          <w:vertAlign w:val="superscript"/>
        </w:rPr>
        <w:t>5</w:t>
      </w:r>
      <w:r w:rsidR="00D533B4">
        <w:rPr>
          <w:vertAlign w:val="superscript"/>
        </w:rPr>
        <w:t>3</w:t>
      </w:r>
      <w:r>
        <w:t xml:space="preserve">. Similar to </w:t>
      </w:r>
      <w:r w:rsidRPr="00283A52">
        <w:t xml:space="preserve">other studies, no significant association was found between </w:t>
      </w:r>
      <w:r w:rsidRPr="00A17BDF">
        <w:rPr>
          <w:i/>
          <w:iCs/>
        </w:rPr>
        <w:t>vaginal dryness</w:t>
      </w:r>
      <w:r>
        <w:t xml:space="preserve"> and BMI </w:t>
      </w:r>
      <w:r>
        <w:rPr>
          <w:vertAlign w:val="superscript"/>
        </w:rPr>
        <w:t>8,</w:t>
      </w:r>
      <w:r w:rsidRPr="00927452">
        <w:rPr>
          <w:vertAlign w:val="superscript"/>
        </w:rPr>
        <w:t xml:space="preserve"> 11, 23</w:t>
      </w:r>
      <w:r w:rsidRPr="00283A52">
        <w:t>.</w:t>
      </w:r>
      <w:r>
        <w:t xml:space="preserve"> </w:t>
      </w:r>
    </w:p>
    <w:p w:rsidR="00676448" w:rsidRDefault="00676448" w:rsidP="005F2B03">
      <w:pPr>
        <w:spacing w:line="480" w:lineRule="auto"/>
        <w:jc w:val="both"/>
      </w:pPr>
    </w:p>
    <w:p w:rsidR="00676448" w:rsidRPr="00226DDA" w:rsidRDefault="00676448" w:rsidP="005F2B03">
      <w:pPr>
        <w:spacing w:line="480" w:lineRule="auto"/>
        <w:jc w:val="both"/>
        <w:rPr>
          <w:b/>
          <w:bCs/>
        </w:rPr>
      </w:pPr>
      <w:r>
        <w:t xml:space="preserve">Similar to </w:t>
      </w:r>
      <w:proofErr w:type="spellStart"/>
      <w:r>
        <w:t>Gallicchio</w:t>
      </w:r>
      <w:proofErr w:type="spellEnd"/>
      <w:r>
        <w:t xml:space="preserve"> and colleagues</w:t>
      </w:r>
      <w:r>
        <w:rPr>
          <w:vertAlign w:val="superscript"/>
        </w:rPr>
        <w:t>23</w:t>
      </w:r>
      <w:r>
        <w:t>, we failed to find a significant relationship between exercise and the classic menopausal symptoms.</w:t>
      </w:r>
      <w:r w:rsidRPr="00283A52">
        <w:t xml:space="preserve"> </w:t>
      </w:r>
      <w:r>
        <w:t xml:space="preserve"> Neither, like some others, did we find an </w:t>
      </w:r>
      <w:r w:rsidRPr="00283A52">
        <w:lastRenderedPageBreak/>
        <w:t>association between alcohol consump</w:t>
      </w:r>
      <w:r>
        <w:t xml:space="preserve">tion and </w:t>
      </w:r>
      <w:r w:rsidRPr="005D34EC">
        <w:rPr>
          <w:i/>
          <w:iCs/>
        </w:rPr>
        <w:t>hot flushes</w:t>
      </w:r>
      <w:r>
        <w:t xml:space="preserve">, </w:t>
      </w:r>
      <w:r w:rsidRPr="005D34EC">
        <w:rPr>
          <w:i/>
          <w:iCs/>
        </w:rPr>
        <w:t>night sweats</w:t>
      </w:r>
      <w:r>
        <w:rPr>
          <w:vertAlign w:val="superscript"/>
        </w:rPr>
        <w:t>22</w:t>
      </w:r>
      <w:r>
        <w:t xml:space="preserve"> or </w:t>
      </w:r>
      <w:r>
        <w:rPr>
          <w:i/>
          <w:iCs/>
        </w:rPr>
        <w:t>vaginal dryness</w:t>
      </w:r>
      <w:r w:rsidR="002E1AA6">
        <w:rPr>
          <w:vertAlign w:val="superscript"/>
        </w:rPr>
        <w:t>11</w:t>
      </w:r>
      <w:proofErr w:type="gramStart"/>
      <w:r w:rsidR="002E1AA6">
        <w:rPr>
          <w:vertAlign w:val="superscript"/>
        </w:rPr>
        <w:t>,</w:t>
      </w:r>
      <w:r>
        <w:rPr>
          <w:vertAlign w:val="superscript"/>
        </w:rPr>
        <w:t>23</w:t>
      </w:r>
      <w:proofErr w:type="gramEnd"/>
      <w:r>
        <w:t>.</w:t>
      </w:r>
    </w:p>
    <w:p w:rsidR="00676448" w:rsidRDefault="00676448" w:rsidP="005F2B03">
      <w:pPr>
        <w:spacing w:line="480" w:lineRule="auto"/>
        <w:jc w:val="both"/>
      </w:pPr>
    </w:p>
    <w:p w:rsidR="00676448" w:rsidRPr="00334DFA" w:rsidRDefault="00676448" w:rsidP="005F2B03">
      <w:pPr>
        <w:spacing w:line="480" w:lineRule="auto"/>
        <w:jc w:val="both"/>
        <w:rPr>
          <w:b/>
          <w:bCs/>
        </w:rPr>
      </w:pPr>
      <w:r>
        <w:t xml:space="preserve">In general previous studies have suggested </w:t>
      </w:r>
      <w:r w:rsidRPr="00283A52">
        <w:t xml:space="preserve">a significant association between </w:t>
      </w:r>
      <w:r>
        <w:t xml:space="preserve">past and current smoking </w:t>
      </w:r>
      <w:r w:rsidRPr="00283A52">
        <w:t>and</w:t>
      </w:r>
      <w:r>
        <w:t xml:space="preserve"> the</w:t>
      </w:r>
      <w:r w:rsidRPr="00283A52">
        <w:t xml:space="preserve"> reporting</w:t>
      </w:r>
      <w:r>
        <w:t xml:space="preserve"> of</w:t>
      </w:r>
      <w:r w:rsidRPr="00283A52">
        <w:t xml:space="preserve">: </w:t>
      </w:r>
      <w:r w:rsidRPr="00AB3759">
        <w:rPr>
          <w:i/>
          <w:iCs/>
        </w:rPr>
        <w:t>hot flushes</w:t>
      </w:r>
      <w:r>
        <w:rPr>
          <w:vertAlign w:val="superscript"/>
        </w:rPr>
        <w:t>10, 11, 14</w:t>
      </w:r>
      <w:r w:rsidRPr="00283A52">
        <w:t xml:space="preserve">; </w:t>
      </w:r>
      <w:r w:rsidRPr="00AB3759">
        <w:rPr>
          <w:i/>
          <w:iCs/>
        </w:rPr>
        <w:t>hot flushes</w:t>
      </w:r>
      <w:r w:rsidRPr="00283A52">
        <w:t xml:space="preserve"> or </w:t>
      </w:r>
      <w:r w:rsidRPr="00AB3759">
        <w:rPr>
          <w:i/>
          <w:iCs/>
        </w:rPr>
        <w:t>night sweats</w:t>
      </w:r>
      <w:r>
        <w:rPr>
          <w:vertAlign w:val="superscript"/>
        </w:rPr>
        <w:t>8</w:t>
      </w:r>
      <w:r w:rsidRPr="00283A52">
        <w:t xml:space="preserve">; and </w:t>
      </w:r>
      <w:r w:rsidRPr="00AB3759">
        <w:rPr>
          <w:i/>
          <w:iCs/>
        </w:rPr>
        <w:t>hot flushes</w:t>
      </w:r>
      <w:r w:rsidRPr="00283A52">
        <w:t xml:space="preserve">, </w:t>
      </w:r>
      <w:r w:rsidRPr="00AB3759">
        <w:rPr>
          <w:i/>
          <w:iCs/>
        </w:rPr>
        <w:t>night sweats</w:t>
      </w:r>
      <w:r w:rsidRPr="00283A52">
        <w:t xml:space="preserve"> or </w:t>
      </w:r>
      <w:r w:rsidRPr="00AA733B">
        <w:rPr>
          <w:i/>
          <w:iCs/>
        </w:rPr>
        <w:t>sleep difficulties</w:t>
      </w:r>
      <w:r>
        <w:rPr>
          <w:vertAlign w:val="superscript"/>
        </w:rPr>
        <w:t>36</w:t>
      </w:r>
      <w:r>
        <w:t>.</w:t>
      </w:r>
      <w:r w:rsidRPr="00283A52">
        <w:t xml:space="preserve"> In </w:t>
      </w:r>
      <w:r>
        <w:t xml:space="preserve">our </w:t>
      </w:r>
      <w:r w:rsidRPr="00283A52">
        <w:t>study</w:t>
      </w:r>
      <w:r>
        <w:t xml:space="preserve">, current smoking </w:t>
      </w:r>
      <w:r w:rsidRPr="00283A52">
        <w:t xml:space="preserve">was only associated with </w:t>
      </w:r>
      <w:r w:rsidRPr="00AB3759">
        <w:rPr>
          <w:i/>
          <w:iCs/>
        </w:rPr>
        <w:t>night sweats</w:t>
      </w:r>
      <w:r>
        <w:rPr>
          <w:i/>
          <w:iCs/>
        </w:rPr>
        <w:t xml:space="preserve">.  </w:t>
      </w:r>
    </w:p>
    <w:p w:rsidR="00676448" w:rsidRDefault="00676448" w:rsidP="005F2B03">
      <w:pPr>
        <w:spacing w:after="60" w:line="480" w:lineRule="auto"/>
        <w:jc w:val="both"/>
      </w:pPr>
    </w:p>
    <w:p w:rsidR="00676448" w:rsidRPr="00771651" w:rsidRDefault="00676448" w:rsidP="005F2B03">
      <w:pPr>
        <w:spacing w:after="60" w:line="480" w:lineRule="auto"/>
        <w:jc w:val="both"/>
        <w:rPr>
          <w:b/>
          <w:bCs/>
          <w:i/>
          <w:iCs/>
        </w:rPr>
      </w:pPr>
      <w:r w:rsidRPr="00771651">
        <w:rPr>
          <w:b/>
          <w:bCs/>
          <w:i/>
          <w:iCs/>
        </w:rPr>
        <w:t>Experience of other symptoms</w:t>
      </w:r>
    </w:p>
    <w:p w:rsidR="00676448" w:rsidRDefault="00676448" w:rsidP="005F2B03">
      <w:pPr>
        <w:autoSpaceDE w:val="0"/>
        <w:autoSpaceDN w:val="0"/>
        <w:adjustRightInd w:val="0"/>
        <w:spacing w:line="480" w:lineRule="auto"/>
        <w:jc w:val="both"/>
      </w:pPr>
      <w:r>
        <w:t>Previous s</w:t>
      </w:r>
      <w:r w:rsidRPr="00283A52">
        <w:t xml:space="preserve">tudies </w:t>
      </w:r>
      <w:r>
        <w:t xml:space="preserve">have </w:t>
      </w:r>
      <w:r w:rsidRPr="00283A52">
        <w:t>often fail</w:t>
      </w:r>
      <w:r>
        <w:t>ed</w:t>
      </w:r>
      <w:r w:rsidRPr="00283A52">
        <w:t xml:space="preserve"> to investigate the </w:t>
      </w:r>
      <w:r>
        <w:t xml:space="preserve">relationship between menopausal </w:t>
      </w:r>
      <w:r w:rsidRPr="00283A52">
        <w:t xml:space="preserve">symptoms </w:t>
      </w:r>
      <w:r>
        <w:t>and other</w:t>
      </w:r>
      <w:r w:rsidRPr="00283A52">
        <w:t xml:space="preserve"> symptom</w:t>
      </w:r>
      <w:r>
        <w:t>s</w:t>
      </w:r>
      <w:r>
        <w:rPr>
          <w:vertAlign w:val="superscript"/>
        </w:rPr>
        <w:t>7-8</w:t>
      </w:r>
      <w:proofErr w:type="gramStart"/>
      <w:r>
        <w:rPr>
          <w:vertAlign w:val="superscript"/>
        </w:rPr>
        <w:t>,13</w:t>
      </w:r>
      <w:proofErr w:type="gramEnd"/>
      <w:r>
        <w:rPr>
          <w:vertAlign w:val="superscript"/>
        </w:rPr>
        <w:t>-14,16,23,27</w:t>
      </w:r>
      <w:r w:rsidRPr="00283A52">
        <w:t xml:space="preserve">. </w:t>
      </w:r>
      <w:r>
        <w:t>Furthermore, few</w:t>
      </w:r>
      <w:r w:rsidRPr="00283A52">
        <w:t xml:space="preserve"> studies have looked at the </w:t>
      </w:r>
      <w:r>
        <w:t>relationship between experiencing one classic menopausal symptom and the reporting of another.</w:t>
      </w:r>
      <w:r w:rsidRPr="00283A52">
        <w:t xml:space="preserve"> </w:t>
      </w:r>
      <w:r>
        <w:t xml:space="preserve">In our </w:t>
      </w:r>
      <w:r w:rsidRPr="00283A52">
        <w:t>study</w:t>
      </w:r>
      <w:r>
        <w:t xml:space="preserve"> women </w:t>
      </w:r>
      <w:r w:rsidRPr="00283A52">
        <w:t>experiencing bloating,</w:t>
      </w:r>
      <w:r>
        <w:t xml:space="preserve"> </w:t>
      </w:r>
      <w:proofErr w:type="spellStart"/>
      <w:r w:rsidRPr="00283A52">
        <w:t>musculo</w:t>
      </w:r>
      <w:proofErr w:type="spellEnd"/>
      <w:r w:rsidRPr="00283A52">
        <w:t>-skeletal, menstrual</w:t>
      </w:r>
      <w:r>
        <w:t xml:space="preserve"> and</w:t>
      </w:r>
      <w:r w:rsidRPr="00283A52">
        <w:t xml:space="preserve"> sexual</w:t>
      </w:r>
      <w:r>
        <w:t xml:space="preserve"> symptoms</w:t>
      </w:r>
      <w:r w:rsidRPr="00283A52">
        <w:t xml:space="preserve">, or </w:t>
      </w:r>
      <w:r w:rsidRPr="00654778">
        <w:t>night sweats</w:t>
      </w:r>
      <w:r>
        <w:t>,</w:t>
      </w:r>
      <w:r w:rsidRPr="00283A52">
        <w:t xml:space="preserve"> </w:t>
      </w:r>
      <w:r>
        <w:t xml:space="preserve">were more likely to report </w:t>
      </w:r>
      <w:r w:rsidRPr="00AB3759">
        <w:rPr>
          <w:i/>
          <w:iCs/>
        </w:rPr>
        <w:t>hot flushes</w:t>
      </w:r>
      <w:r>
        <w:t xml:space="preserve"> than women not experiencing these symptoms</w:t>
      </w:r>
      <w:r w:rsidRPr="00283A52">
        <w:t xml:space="preserve">. Similarly, </w:t>
      </w:r>
      <w:r>
        <w:t xml:space="preserve">women </w:t>
      </w:r>
      <w:r w:rsidRPr="00283A52">
        <w:t>experiencing sexual symptoms</w:t>
      </w:r>
      <w:r>
        <w:t>,</w:t>
      </w:r>
      <w:r w:rsidRPr="00283A52">
        <w:t xml:space="preserve"> sleep difficulties or </w:t>
      </w:r>
      <w:r w:rsidRPr="00654778">
        <w:t>hot flushes</w:t>
      </w:r>
      <w:r>
        <w:t xml:space="preserve"> were more likely to report</w:t>
      </w:r>
      <w:r w:rsidRPr="00283A52">
        <w:t xml:space="preserve"> </w:t>
      </w:r>
      <w:r w:rsidRPr="00AB3759">
        <w:rPr>
          <w:i/>
          <w:iCs/>
        </w:rPr>
        <w:t>night sweats</w:t>
      </w:r>
      <w:r w:rsidRPr="00226DDA">
        <w:t>;</w:t>
      </w:r>
      <w:r>
        <w:rPr>
          <w:i/>
          <w:iCs/>
        </w:rPr>
        <w:t xml:space="preserve"> </w:t>
      </w:r>
      <w:r>
        <w:t xml:space="preserve">and women </w:t>
      </w:r>
      <w:r w:rsidRPr="00283A52">
        <w:t xml:space="preserve">experiencing decreased sexual interest, somatic symptoms, or </w:t>
      </w:r>
      <w:r w:rsidRPr="00654778">
        <w:t xml:space="preserve">hot flushes </w:t>
      </w:r>
      <w:r>
        <w:t>were more likely to</w:t>
      </w:r>
      <w:r w:rsidRPr="00283A52">
        <w:t xml:space="preserve"> </w:t>
      </w:r>
      <w:r>
        <w:t>report</w:t>
      </w:r>
      <w:r w:rsidRPr="00283A52">
        <w:t xml:space="preserve"> </w:t>
      </w:r>
      <w:r w:rsidRPr="00A17BDF">
        <w:rPr>
          <w:i/>
          <w:iCs/>
        </w:rPr>
        <w:t>vaginal dryness</w:t>
      </w:r>
      <w:r w:rsidRPr="00283A52">
        <w:t xml:space="preserve">. </w:t>
      </w:r>
    </w:p>
    <w:p w:rsidR="00676448" w:rsidRDefault="00676448" w:rsidP="005F2B03">
      <w:pPr>
        <w:spacing w:line="480" w:lineRule="auto"/>
        <w:jc w:val="both"/>
        <w:rPr>
          <w:b/>
          <w:bCs/>
          <w:i/>
          <w:iCs/>
        </w:rPr>
      </w:pPr>
    </w:p>
    <w:p w:rsidR="00676448" w:rsidRPr="00771651" w:rsidRDefault="00676448" w:rsidP="005F2B03">
      <w:pPr>
        <w:spacing w:line="480" w:lineRule="auto"/>
        <w:jc w:val="both"/>
        <w:rPr>
          <w:b/>
          <w:bCs/>
          <w:i/>
          <w:iCs/>
        </w:rPr>
      </w:pPr>
      <w:r w:rsidRPr="00771651">
        <w:rPr>
          <w:b/>
          <w:bCs/>
          <w:i/>
          <w:iCs/>
        </w:rPr>
        <w:t>Anxiety and depression</w:t>
      </w:r>
    </w:p>
    <w:p w:rsidR="00676448" w:rsidRDefault="00676448" w:rsidP="005F2B03">
      <w:pPr>
        <w:spacing w:line="480" w:lineRule="auto"/>
        <w:jc w:val="both"/>
      </w:pPr>
      <w:r w:rsidRPr="00283A52">
        <w:t xml:space="preserve">Some studies have shown that anxiety and depression scores are significantly higher in women reporting </w:t>
      </w:r>
      <w:r w:rsidRPr="00AB3759">
        <w:rPr>
          <w:i/>
          <w:iCs/>
        </w:rPr>
        <w:t>hot flushes</w:t>
      </w:r>
      <w:r>
        <w:t>,</w:t>
      </w:r>
      <w:r w:rsidRPr="00283A52">
        <w:t xml:space="preserve"> compared with </w:t>
      </w:r>
      <w:r>
        <w:t xml:space="preserve">those not doing </w:t>
      </w:r>
      <w:r w:rsidR="00620DE5">
        <w:t>so</w:t>
      </w:r>
      <w:r w:rsidR="00620DE5">
        <w:rPr>
          <w:vertAlign w:val="superscript"/>
        </w:rPr>
        <w:t>54</w:t>
      </w:r>
      <w:r>
        <w:rPr>
          <w:vertAlign w:val="superscript"/>
        </w:rPr>
        <w:t>-</w:t>
      </w:r>
      <w:r w:rsidR="00620DE5">
        <w:rPr>
          <w:vertAlign w:val="superscript"/>
        </w:rPr>
        <w:t>55</w:t>
      </w:r>
      <w:r>
        <w:t>.</w:t>
      </w:r>
      <w:r w:rsidRPr="00283A52">
        <w:t xml:space="preserve"> Others have found no significant association between </w:t>
      </w:r>
      <w:r w:rsidRPr="00AB3759">
        <w:rPr>
          <w:i/>
          <w:iCs/>
        </w:rPr>
        <w:t>hot flushes</w:t>
      </w:r>
      <w:r w:rsidRPr="00283A52">
        <w:t xml:space="preserve">, </w:t>
      </w:r>
      <w:r w:rsidRPr="00AB3759">
        <w:rPr>
          <w:i/>
          <w:iCs/>
        </w:rPr>
        <w:t>night sweats</w:t>
      </w:r>
      <w:r w:rsidRPr="00283A52">
        <w:t xml:space="preserve"> and </w:t>
      </w:r>
      <w:r w:rsidR="00620DE5">
        <w:t>depression</w:t>
      </w:r>
      <w:r w:rsidR="00620DE5">
        <w:rPr>
          <w:vertAlign w:val="superscript"/>
        </w:rPr>
        <w:t>56</w:t>
      </w:r>
      <w:r w:rsidRPr="00283A52">
        <w:t xml:space="preserve">. </w:t>
      </w:r>
      <w:r>
        <w:t xml:space="preserve">In our study, we only observed an association between </w:t>
      </w:r>
      <w:r w:rsidRPr="00283A52">
        <w:t xml:space="preserve">possibly having depression </w:t>
      </w:r>
      <w:r>
        <w:t xml:space="preserve">and </w:t>
      </w:r>
      <w:r w:rsidRPr="00AB3759">
        <w:rPr>
          <w:i/>
          <w:iCs/>
        </w:rPr>
        <w:t>night sweats</w:t>
      </w:r>
      <w:r w:rsidRPr="00283A52">
        <w:t>.</w:t>
      </w:r>
    </w:p>
    <w:p w:rsidR="00676448" w:rsidRDefault="00676448" w:rsidP="005F2B03">
      <w:pPr>
        <w:spacing w:line="480" w:lineRule="auto"/>
        <w:jc w:val="both"/>
      </w:pPr>
    </w:p>
    <w:p w:rsidR="00676448" w:rsidRPr="00771651" w:rsidRDefault="00676448" w:rsidP="005F2B03">
      <w:pPr>
        <w:spacing w:line="480" w:lineRule="auto"/>
        <w:jc w:val="both"/>
        <w:rPr>
          <w:b/>
          <w:bCs/>
          <w:i/>
          <w:iCs/>
        </w:rPr>
      </w:pPr>
      <w:r w:rsidRPr="00771651">
        <w:rPr>
          <w:b/>
          <w:bCs/>
          <w:i/>
          <w:iCs/>
        </w:rPr>
        <w:lastRenderedPageBreak/>
        <w:t>Attitudes towards menopause</w:t>
      </w:r>
    </w:p>
    <w:p w:rsidR="00676448" w:rsidRDefault="00676448" w:rsidP="005F2B03">
      <w:pPr>
        <w:spacing w:line="480" w:lineRule="auto"/>
        <w:jc w:val="both"/>
      </w:pPr>
      <w:r>
        <w:t xml:space="preserve">Previous </w:t>
      </w:r>
      <w:r w:rsidRPr="00283A52">
        <w:t xml:space="preserve">studies have shown an association between negative attitudes </w:t>
      </w:r>
      <w:r>
        <w:t xml:space="preserve">to the menopause </w:t>
      </w:r>
      <w:r w:rsidRPr="00283A52">
        <w:t xml:space="preserve">and increased </w:t>
      </w:r>
      <w:r>
        <w:t xml:space="preserve">reporting of </w:t>
      </w:r>
      <w:r w:rsidRPr="00283A52">
        <w:t>menopausal symptom</w:t>
      </w:r>
      <w:r>
        <w:t xml:space="preserve">s </w:t>
      </w:r>
      <w:r>
        <w:rPr>
          <w:vertAlign w:val="superscript"/>
        </w:rPr>
        <w:t xml:space="preserve">26, </w:t>
      </w:r>
      <w:r w:rsidR="00620DE5">
        <w:rPr>
          <w:vertAlign w:val="superscript"/>
        </w:rPr>
        <w:t>57</w:t>
      </w:r>
      <w:r>
        <w:rPr>
          <w:vertAlign w:val="superscript"/>
        </w:rPr>
        <w:t>-5</w:t>
      </w:r>
      <w:r w:rsidR="00620DE5">
        <w:rPr>
          <w:vertAlign w:val="superscript"/>
        </w:rPr>
        <w:t>9</w:t>
      </w:r>
      <w:r>
        <w:t>. We did not find this to be the case in our multivariate analysis.</w:t>
      </w:r>
    </w:p>
    <w:p w:rsidR="00676448" w:rsidRDefault="00676448" w:rsidP="005F2B03">
      <w:pPr>
        <w:spacing w:line="480" w:lineRule="auto"/>
        <w:jc w:val="both"/>
      </w:pPr>
    </w:p>
    <w:p w:rsidR="00676448" w:rsidRPr="00771651" w:rsidRDefault="00676448" w:rsidP="005F2B03">
      <w:pPr>
        <w:spacing w:line="480" w:lineRule="auto"/>
        <w:jc w:val="both"/>
        <w:rPr>
          <w:b/>
          <w:bCs/>
          <w:i/>
          <w:iCs/>
        </w:rPr>
      </w:pPr>
      <w:r w:rsidRPr="00771651">
        <w:rPr>
          <w:b/>
          <w:bCs/>
          <w:i/>
          <w:iCs/>
        </w:rPr>
        <w:t>Social support</w:t>
      </w:r>
    </w:p>
    <w:p w:rsidR="00676448" w:rsidRDefault="00676448" w:rsidP="005F2B03">
      <w:pPr>
        <w:spacing w:line="480" w:lineRule="auto"/>
        <w:jc w:val="both"/>
      </w:pPr>
      <w:r w:rsidRPr="00283A52">
        <w:t>The role of social support in sym</w:t>
      </w:r>
      <w:r>
        <w:t>ptom experience appears complex.</w:t>
      </w:r>
      <w:r w:rsidRPr="00283A52">
        <w:t xml:space="preserve"> </w:t>
      </w:r>
      <w:r>
        <w:t>We found that g</w:t>
      </w:r>
      <w:r w:rsidRPr="00283A52">
        <w:t xml:space="preserve">ood social support from friends was associated with a decreased likelihood of reporting </w:t>
      </w:r>
      <w:r w:rsidRPr="00AB3759">
        <w:rPr>
          <w:i/>
          <w:iCs/>
        </w:rPr>
        <w:t>hot flushes</w:t>
      </w:r>
      <w:r w:rsidRPr="00283A52">
        <w:t xml:space="preserve">, whilst good social support from a significant other was associated with an increased likelihood of reporting </w:t>
      </w:r>
      <w:r w:rsidRPr="00A17BDF">
        <w:rPr>
          <w:i/>
          <w:iCs/>
        </w:rPr>
        <w:t>vaginal dryness</w:t>
      </w:r>
      <w:r w:rsidRPr="00283A52">
        <w:t xml:space="preserve">. Although the evidence base for social support and menopausal symptoms is thin, other studies have suggested an association between good social support and a decreased likelihood of reporting </w:t>
      </w:r>
      <w:r w:rsidRPr="00AB3759">
        <w:rPr>
          <w:i/>
          <w:iCs/>
        </w:rPr>
        <w:t>hot flushes</w:t>
      </w:r>
      <w:r w:rsidRPr="00283A52">
        <w:t xml:space="preserve"> and menopausa</w:t>
      </w:r>
      <w:r>
        <w:t>l complaints</w:t>
      </w:r>
      <w:r>
        <w:rPr>
          <w:vertAlign w:val="superscript"/>
        </w:rPr>
        <w:t xml:space="preserve">19, </w:t>
      </w:r>
      <w:r w:rsidR="00620DE5">
        <w:rPr>
          <w:vertAlign w:val="superscript"/>
        </w:rPr>
        <w:t>60</w:t>
      </w:r>
      <w:r>
        <w:t xml:space="preserve">. We have not identified any other study that has found </w:t>
      </w:r>
      <w:r w:rsidRPr="00283A52">
        <w:t xml:space="preserve">an association between good levels of social support from a significant other and increased reporting of </w:t>
      </w:r>
      <w:r w:rsidRPr="00A17BDF">
        <w:rPr>
          <w:i/>
          <w:iCs/>
        </w:rPr>
        <w:t>vaginal dryness</w:t>
      </w:r>
      <w:r w:rsidRPr="00283A52">
        <w:t xml:space="preserve">. </w:t>
      </w:r>
      <w:r>
        <w:t xml:space="preserve">It may be that the </w:t>
      </w:r>
      <w:r w:rsidRPr="00283A52">
        <w:t>significant other</w:t>
      </w:r>
      <w:r>
        <w:t xml:space="preserve"> of our respondents was a sexual partner, leading women to be </w:t>
      </w:r>
      <w:r w:rsidRPr="00283A52">
        <w:t xml:space="preserve">more aware of </w:t>
      </w:r>
      <w:r w:rsidRPr="00A17BDF">
        <w:rPr>
          <w:i/>
          <w:iCs/>
        </w:rPr>
        <w:t>vaginal dryness</w:t>
      </w:r>
      <w:r w:rsidRPr="00283A52">
        <w:t>.</w:t>
      </w:r>
    </w:p>
    <w:p w:rsidR="00676448" w:rsidRPr="00E9450C" w:rsidRDefault="00676448" w:rsidP="005F2B03">
      <w:pPr>
        <w:spacing w:line="480" w:lineRule="auto"/>
        <w:jc w:val="both"/>
        <w:rPr>
          <w:b/>
          <w:bCs/>
        </w:rPr>
      </w:pPr>
    </w:p>
    <w:p w:rsidR="00676448" w:rsidRPr="00771651" w:rsidRDefault="00676448" w:rsidP="005F2B03">
      <w:pPr>
        <w:autoSpaceDE w:val="0"/>
        <w:autoSpaceDN w:val="0"/>
        <w:adjustRightInd w:val="0"/>
        <w:spacing w:line="480" w:lineRule="auto"/>
        <w:jc w:val="both"/>
        <w:rPr>
          <w:b/>
          <w:bCs/>
          <w:i/>
          <w:iCs/>
        </w:rPr>
      </w:pPr>
      <w:r w:rsidRPr="00771651">
        <w:rPr>
          <w:b/>
          <w:bCs/>
          <w:i/>
          <w:iCs/>
        </w:rPr>
        <w:t>Illness perceptions</w:t>
      </w:r>
    </w:p>
    <w:p w:rsidR="00676448" w:rsidRPr="002E1AA6" w:rsidRDefault="00676448" w:rsidP="005F2B03">
      <w:pPr>
        <w:autoSpaceDE w:val="0"/>
        <w:autoSpaceDN w:val="0"/>
        <w:adjustRightInd w:val="0"/>
        <w:spacing w:line="480" w:lineRule="auto"/>
        <w:jc w:val="both"/>
      </w:pPr>
      <w:r>
        <w:t>S</w:t>
      </w:r>
      <w:r w:rsidRPr="00283A52">
        <w:t xml:space="preserve">tudies have shown that lower perceived levels of control, higher </w:t>
      </w:r>
      <w:r>
        <w:t>self-rated</w:t>
      </w:r>
      <w:r w:rsidRPr="00283A52">
        <w:t xml:space="preserve"> levels of distress and negative beliefs are associated with increased likelihood of reporting </w:t>
      </w:r>
      <w:r w:rsidRPr="00AB3759">
        <w:rPr>
          <w:i/>
          <w:iCs/>
        </w:rPr>
        <w:t>hot flushes</w:t>
      </w:r>
      <w:r>
        <w:rPr>
          <w:vertAlign w:val="superscript"/>
        </w:rPr>
        <w:t>26-27</w:t>
      </w:r>
      <w:r w:rsidRPr="00283A52">
        <w:t xml:space="preserve">. </w:t>
      </w:r>
      <w:r>
        <w:t xml:space="preserve">After adjustment, the </w:t>
      </w:r>
      <w:r w:rsidRPr="00283A52">
        <w:t>illness percept</w:t>
      </w:r>
      <w:r>
        <w:t>ions of participants in our study were not associated with any of the classic</w:t>
      </w:r>
      <w:r w:rsidRPr="00283A52">
        <w:t xml:space="preserve"> </w:t>
      </w:r>
      <w:r>
        <w:t xml:space="preserve">menopausal </w:t>
      </w:r>
      <w:r w:rsidRPr="00283A52">
        <w:t>symptoms.</w:t>
      </w:r>
    </w:p>
    <w:p w:rsidR="00F1141F" w:rsidRPr="00F1141F" w:rsidRDefault="00F1141F" w:rsidP="005F2B03">
      <w:pPr>
        <w:autoSpaceDE w:val="0"/>
        <w:autoSpaceDN w:val="0"/>
        <w:adjustRightInd w:val="0"/>
        <w:spacing w:line="480" w:lineRule="auto"/>
        <w:jc w:val="both"/>
        <w:rPr>
          <w:bCs/>
          <w:iCs/>
        </w:rPr>
      </w:pPr>
    </w:p>
    <w:p w:rsidR="00676448" w:rsidRPr="00771651" w:rsidRDefault="00412970" w:rsidP="005F2B03">
      <w:pPr>
        <w:autoSpaceDE w:val="0"/>
        <w:autoSpaceDN w:val="0"/>
        <w:adjustRightInd w:val="0"/>
        <w:spacing w:line="480" w:lineRule="auto"/>
        <w:jc w:val="both"/>
        <w:rPr>
          <w:b/>
          <w:bCs/>
          <w:i/>
          <w:iCs/>
        </w:rPr>
      </w:pPr>
      <w:r>
        <w:rPr>
          <w:b/>
          <w:bCs/>
          <w:i/>
          <w:iCs/>
        </w:rPr>
        <w:br w:type="page"/>
      </w:r>
      <w:r w:rsidR="00676448" w:rsidRPr="00771651">
        <w:rPr>
          <w:b/>
          <w:bCs/>
          <w:i/>
          <w:iCs/>
        </w:rPr>
        <w:lastRenderedPageBreak/>
        <w:t>HRQOL</w:t>
      </w:r>
    </w:p>
    <w:p w:rsidR="00676448" w:rsidRDefault="00676448" w:rsidP="005F2B03">
      <w:pPr>
        <w:spacing w:line="480" w:lineRule="auto"/>
        <w:jc w:val="both"/>
      </w:pPr>
      <w:r>
        <w:t xml:space="preserve">We found that below </w:t>
      </w:r>
      <w:r w:rsidRPr="00283A52">
        <w:t>average physical health</w:t>
      </w:r>
      <w:r>
        <w:t xml:space="preserve"> </w:t>
      </w:r>
      <w:r w:rsidRPr="00283A52">
        <w:t xml:space="preserve">was independently associated with an increased likelihood of reporting </w:t>
      </w:r>
      <w:r w:rsidRPr="00A17BDF">
        <w:rPr>
          <w:i/>
          <w:iCs/>
        </w:rPr>
        <w:t>vaginal dryness</w:t>
      </w:r>
      <w:r w:rsidRPr="00283A52">
        <w:t xml:space="preserve">. </w:t>
      </w:r>
      <w:r>
        <w:t xml:space="preserve">In contrast to our findings, a </w:t>
      </w:r>
      <w:r w:rsidRPr="00283A52">
        <w:t xml:space="preserve">significant association between impaired function in the vitality domain </w:t>
      </w:r>
      <w:r>
        <w:t xml:space="preserve">(a component of the mental health domain) </w:t>
      </w:r>
      <w:r w:rsidRPr="00283A52">
        <w:t xml:space="preserve">and increased reporting of </w:t>
      </w:r>
      <w:r w:rsidRPr="00A17BDF">
        <w:rPr>
          <w:i/>
          <w:iCs/>
        </w:rPr>
        <w:t>vaginal dryness</w:t>
      </w:r>
      <w:r w:rsidRPr="00283A52">
        <w:t xml:space="preserve"> </w:t>
      </w:r>
      <w:r>
        <w:t xml:space="preserve">was reported in the Study of Women’s health Across the Nation (SWAN) </w:t>
      </w:r>
      <w:r>
        <w:rPr>
          <w:vertAlign w:val="superscript"/>
        </w:rPr>
        <w:t>17</w:t>
      </w:r>
      <w:r w:rsidRPr="00283A52">
        <w:t>.</w:t>
      </w:r>
      <w:r>
        <w:t xml:space="preserve"> We have not been able to replicate the findings of others studies reporting a significant independent association between HRQOL and </w:t>
      </w:r>
      <w:r w:rsidRPr="00AB3759">
        <w:rPr>
          <w:i/>
          <w:iCs/>
        </w:rPr>
        <w:t>hot flushes</w:t>
      </w:r>
      <w:r w:rsidRPr="00283A52">
        <w:t xml:space="preserve"> or </w:t>
      </w:r>
      <w:r w:rsidRPr="00AB3759">
        <w:rPr>
          <w:i/>
          <w:iCs/>
        </w:rPr>
        <w:t>night sweats</w:t>
      </w:r>
      <w:r>
        <w:t xml:space="preserve"> </w:t>
      </w:r>
      <w:r>
        <w:rPr>
          <w:vertAlign w:val="superscript"/>
        </w:rPr>
        <w:t>6, 17-18</w:t>
      </w:r>
      <w:r>
        <w:t xml:space="preserve">. </w:t>
      </w:r>
    </w:p>
    <w:p w:rsidR="00676448" w:rsidRDefault="00676448" w:rsidP="005F2B03">
      <w:pPr>
        <w:spacing w:line="480" w:lineRule="auto"/>
        <w:jc w:val="both"/>
      </w:pPr>
    </w:p>
    <w:p w:rsidR="00676448" w:rsidRPr="00771651" w:rsidRDefault="00676448" w:rsidP="005F2B03">
      <w:pPr>
        <w:spacing w:line="480" w:lineRule="auto"/>
        <w:jc w:val="both"/>
        <w:rPr>
          <w:b/>
          <w:bCs/>
          <w:i/>
          <w:iCs/>
        </w:rPr>
      </w:pPr>
      <w:r w:rsidRPr="00771651">
        <w:rPr>
          <w:b/>
          <w:bCs/>
          <w:i/>
          <w:iCs/>
        </w:rPr>
        <w:t>Management strategies</w:t>
      </w:r>
    </w:p>
    <w:p w:rsidR="00676448" w:rsidRDefault="00676448" w:rsidP="005F2B03">
      <w:pPr>
        <w:spacing w:afterLines="60" w:line="480" w:lineRule="auto"/>
        <w:jc w:val="both"/>
      </w:pPr>
      <w:r>
        <w:t>Studies of</w:t>
      </w:r>
      <w:r w:rsidRPr="00283A52">
        <w:t xml:space="preserve"> management strategies </w:t>
      </w:r>
      <w:r>
        <w:t xml:space="preserve">used to treat </w:t>
      </w:r>
      <w:r w:rsidRPr="00283A52">
        <w:t>menopause symptoms tend to focus</w:t>
      </w:r>
      <w:r>
        <w:t xml:space="preserve"> on </w:t>
      </w:r>
      <w:r w:rsidRPr="00283A52">
        <w:t>the prevalence of</w:t>
      </w:r>
      <w:r>
        <w:t xml:space="preserve"> use of individual approaches</w:t>
      </w:r>
      <w:r w:rsidR="00620DE5" w:rsidRPr="00620DE5">
        <w:rPr>
          <w:vertAlign w:val="superscript"/>
        </w:rPr>
        <w:t>61-62</w:t>
      </w:r>
      <w:r>
        <w:t>,</w:t>
      </w:r>
      <w:r w:rsidRPr="00283A52">
        <w:t xml:space="preserve"> or </w:t>
      </w:r>
      <w:r>
        <w:t xml:space="preserve">on </w:t>
      </w:r>
      <w:r w:rsidRPr="00283A52">
        <w:t>lifestyle and socio-demographic factors associated with</w:t>
      </w:r>
      <w:r>
        <w:t xml:space="preserve"> the use of each management </w:t>
      </w:r>
      <w:r w:rsidR="00620DE5">
        <w:t>strategy</w:t>
      </w:r>
      <w:r w:rsidR="00620DE5">
        <w:rPr>
          <w:vertAlign w:val="superscript"/>
        </w:rPr>
        <w:t>63</w:t>
      </w:r>
      <w:r>
        <w:rPr>
          <w:vertAlign w:val="superscript"/>
        </w:rPr>
        <w:t>-</w:t>
      </w:r>
      <w:r w:rsidR="00620DE5">
        <w:rPr>
          <w:vertAlign w:val="superscript"/>
        </w:rPr>
        <w:t>64</w:t>
      </w:r>
      <w:r w:rsidRPr="00283A52">
        <w:t xml:space="preserve">. Few studies have looked at the </w:t>
      </w:r>
      <w:r>
        <w:t xml:space="preserve">relationship between the reporting of classic </w:t>
      </w:r>
      <w:r w:rsidRPr="00283A52">
        <w:t xml:space="preserve">menopausal </w:t>
      </w:r>
      <w:r>
        <w:t>symptoms and management strategies</w:t>
      </w:r>
      <w:r w:rsidRPr="00283A52">
        <w:t xml:space="preserve"> use</w:t>
      </w:r>
      <w:r>
        <w:t>d</w:t>
      </w:r>
      <w:r w:rsidRPr="00283A52">
        <w:t xml:space="preserve">. In </w:t>
      </w:r>
      <w:r>
        <w:t xml:space="preserve">our </w:t>
      </w:r>
      <w:r w:rsidRPr="00283A52">
        <w:t xml:space="preserve">study, </w:t>
      </w:r>
      <w:r w:rsidRPr="00AB3759">
        <w:rPr>
          <w:i/>
          <w:iCs/>
        </w:rPr>
        <w:t>hot flushes</w:t>
      </w:r>
      <w:r w:rsidRPr="00283A52">
        <w:t xml:space="preserve"> were independently associated with </w:t>
      </w:r>
      <w:r>
        <w:t xml:space="preserve">greater use of </w:t>
      </w:r>
      <w:r w:rsidRPr="00283A52">
        <w:t xml:space="preserve">CAM, lifestyle and psychological strategies to manage menopause attributed symptoms. </w:t>
      </w:r>
      <w:r w:rsidRPr="00131B4E">
        <w:rPr>
          <w:i/>
          <w:iCs/>
        </w:rPr>
        <w:t>N</w:t>
      </w:r>
      <w:r w:rsidRPr="00AB3759">
        <w:rPr>
          <w:i/>
          <w:iCs/>
        </w:rPr>
        <w:t>ight sweats</w:t>
      </w:r>
      <w:r w:rsidRPr="00283A52">
        <w:t xml:space="preserve"> was independently associated with use </w:t>
      </w:r>
      <w:r>
        <w:t xml:space="preserve">of </w:t>
      </w:r>
      <w:r w:rsidRPr="00283A52">
        <w:t xml:space="preserve">lifestyle strategies; and </w:t>
      </w:r>
      <w:r w:rsidRPr="00A17BDF">
        <w:rPr>
          <w:i/>
          <w:iCs/>
        </w:rPr>
        <w:t>vaginal dryness</w:t>
      </w:r>
      <w:r w:rsidRPr="00283A52">
        <w:t xml:space="preserve"> with use</w:t>
      </w:r>
      <w:r>
        <w:t xml:space="preserve"> of</w:t>
      </w:r>
      <w:r w:rsidRPr="00283A52">
        <w:t xml:space="preserve"> psychological and lifestyle strategies. </w:t>
      </w:r>
      <w:r>
        <w:t>Similar to</w:t>
      </w:r>
      <w:r w:rsidRPr="00283A52">
        <w:t xml:space="preserve"> </w:t>
      </w:r>
      <w:r>
        <w:t xml:space="preserve">our </w:t>
      </w:r>
      <w:r w:rsidRPr="00283A52">
        <w:t xml:space="preserve">findings, </w:t>
      </w:r>
      <w:r>
        <w:t>a</w:t>
      </w:r>
      <w:r w:rsidRPr="00283A52">
        <w:t xml:space="preserve"> telephone survey </w:t>
      </w:r>
      <w:r>
        <w:t xml:space="preserve">in the US found that </w:t>
      </w:r>
      <w:r w:rsidRPr="00AB3759">
        <w:rPr>
          <w:i/>
          <w:iCs/>
        </w:rPr>
        <w:t>hot flushes</w:t>
      </w:r>
      <w:r>
        <w:t xml:space="preserve"> were</w:t>
      </w:r>
      <w:r w:rsidRPr="00283A52">
        <w:t xml:space="preserve"> associated with an increased likelihood of al</w:t>
      </w:r>
      <w:r>
        <w:t xml:space="preserve">ternative therapy use, but not </w:t>
      </w:r>
      <w:r w:rsidRPr="00AB3759">
        <w:rPr>
          <w:i/>
          <w:iCs/>
        </w:rPr>
        <w:t xml:space="preserve">night </w:t>
      </w:r>
      <w:r w:rsidR="00620DE5" w:rsidRPr="00AB3759">
        <w:rPr>
          <w:i/>
          <w:iCs/>
        </w:rPr>
        <w:t>sweat</w:t>
      </w:r>
      <w:r w:rsidR="00620DE5">
        <w:rPr>
          <w:i/>
          <w:iCs/>
        </w:rPr>
        <w:t>s</w:t>
      </w:r>
      <w:r w:rsidR="00620DE5">
        <w:rPr>
          <w:vertAlign w:val="superscript"/>
        </w:rPr>
        <w:t>65</w:t>
      </w:r>
      <w:r>
        <w:t>.</w:t>
      </w:r>
      <w:r w:rsidRPr="00283A52">
        <w:t xml:space="preserve"> </w:t>
      </w:r>
      <w:r>
        <w:t>N</w:t>
      </w:r>
      <w:r w:rsidRPr="00283A52">
        <w:t>o</w:t>
      </w:r>
      <w:r>
        <w:t xml:space="preserve"> statistically</w:t>
      </w:r>
      <w:r w:rsidRPr="00283A52">
        <w:t xml:space="preserve"> significant associations were </w:t>
      </w:r>
      <w:r>
        <w:t xml:space="preserve">found </w:t>
      </w:r>
      <w:r w:rsidRPr="00283A52">
        <w:t>between</w:t>
      </w:r>
      <w:r>
        <w:t xml:space="preserve"> the reporting of</w:t>
      </w:r>
      <w:r w:rsidRPr="00283A52">
        <w:t xml:space="preserve"> vasomotor </w:t>
      </w:r>
      <w:r>
        <w:t xml:space="preserve">symptoms </w:t>
      </w:r>
      <w:r w:rsidRPr="00283A52">
        <w:t xml:space="preserve">and use of herbal remedies </w:t>
      </w:r>
      <w:r>
        <w:t xml:space="preserve">in the </w:t>
      </w:r>
      <w:r w:rsidRPr="00283A52">
        <w:t xml:space="preserve">SWAN </w:t>
      </w:r>
      <w:r w:rsidR="00620DE5">
        <w:t>study</w:t>
      </w:r>
      <w:r w:rsidR="00620DE5">
        <w:rPr>
          <w:vertAlign w:val="superscript"/>
        </w:rPr>
        <w:t>66</w:t>
      </w:r>
      <w:r w:rsidRPr="00283A52">
        <w:t>.</w:t>
      </w:r>
      <w:r>
        <w:t xml:space="preserve"> </w:t>
      </w:r>
    </w:p>
    <w:p w:rsidR="00676448" w:rsidRDefault="00676448" w:rsidP="005F2B03">
      <w:pPr>
        <w:spacing w:line="480" w:lineRule="auto"/>
        <w:jc w:val="both"/>
      </w:pPr>
    </w:p>
    <w:p w:rsidR="00676448" w:rsidRPr="00771651" w:rsidRDefault="00412970" w:rsidP="005F2B03">
      <w:pPr>
        <w:spacing w:line="480" w:lineRule="auto"/>
        <w:jc w:val="both"/>
        <w:rPr>
          <w:i/>
          <w:iCs/>
        </w:rPr>
      </w:pPr>
      <w:r>
        <w:rPr>
          <w:b/>
          <w:bCs/>
          <w:i/>
          <w:iCs/>
        </w:rPr>
        <w:br w:type="page"/>
      </w:r>
      <w:r w:rsidR="00676448" w:rsidRPr="00771651">
        <w:rPr>
          <w:b/>
          <w:bCs/>
          <w:i/>
          <w:iCs/>
        </w:rPr>
        <w:lastRenderedPageBreak/>
        <w:t>Methodological strengths and weaknesses</w:t>
      </w:r>
    </w:p>
    <w:p w:rsidR="00676448" w:rsidRPr="00283A52" w:rsidRDefault="00676448" w:rsidP="005F2B03">
      <w:pPr>
        <w:spacing w:line="480" w:lineRule="auto"/>
        <w:jc w:val="both"/>
      </w:pPr>
      <w:r w:rsidRPr="00283A52">
        <w:t xml:space="preserve">Response bias may have occurred </w:t>
      </w:r>
      <w:r>
        <w:t xml:space="preserve">in our study as respondents </w:t>
      </w:r>
      <w:r w:rsidRPr="00283A52">
        <w:t>were signi</w:t>
      </w:r>
      <w:r>
        <w:t>ficantly more affluent than non-</w:t>
      </w:r>
      <w:r w:rsidRPr="00283A52">
        <w:t xml:space="preserve">respondents. </w:t>
      </w:r>
      <w:r>
        <w:t>S</w:t>
      </w:r>
      <w:r w:rsidRPr="00283A52">
        <w:t xml:space="preserve">tudies have suggested that socio-economic status </w:t>
      </w:r>
      <w:r>
        <w:t xml:space="preserve">is associated with symptom reporting, with </w:t>
      </w:r>
      <w:r w:rsidRPr="00283A52">
        <w:t xml:space="preserve">women from lower </w:t>
      </w:r>
      <w:r>
        <w:t>socio-economic groups experiencing</w:t>
      </w:r>
      <w:r w:rsidRPr="00283A52">
        <w:t xml:space="preserve"> more </w:t>
      </w:r>
      <w:r>
        <w:t>menopausal symptoms</w:t>
      </w:r>
      <w:r>
        <w:rPr>
          <w:vertAlign w:val="superscript"/>
        </w:rPr>
        <w:t>6-8</w:t>
      </w:r>
      <w:r>
        <w:t xml:space="preserve">. It could be possible, therefore, that women experiencing a greater number of symptoms may have been under represented in our study. </w:t>
      </w:r>
    </w:p>
    <w:p w:rsidR="00676448" w:rsidRDefault="00676448" w:rsidP="005F2B03">
      <w:pPr>
        <w:spacing w:line="480" w:lineRule="auto"/>
        <w:jc w:val="both"/>
      </w:pPr>
    </w:p>
    <w:p w:rsidR="00676448" w:rsidRPr="007076F6" w:rsidRDefault="00676448" w:rsidP="005F2B03">
      <w:pPr>
        <w:spacing w:line="480" w:lineRule="auto"/>
        <w:jc w:val="both"/>
      </w:pPr>
      <w:r w:rsidRPr="00283A52">
        <w:t xml:space="preserve">One of the main strengths of </w:t>
      </w:r>
      <w:r>
        <w:t xml:space="preserve">our </w:t>
      </w:r>
      <w:r w:rsidRPr="00283A52">
        <w:t xml:space="preserve">study was the </w:t>
      </w:r>
      <w:r>
        <w:t>community</w:t>
      </w:r>
      <w:r w:rsidRPr="002613FE">
        <w:t xml:space="preserve"> </w:t>
      </w:r>
      <w:r w:rsidRPr="00283A52">
        <w:t>sample</w:t>
      </w:r>
      <w:r>
        <w:t>.</w:t>
      </w:r>
      <w:r w:rsidRPr="00283A52">
        <w:t xml:space="preserve"> Results</w:t>
      </w:r>
      <w:r>
        <w:t xml:space="preserve"> </w:t>
      </w:r>
      <w:r w:rsidRPr="00283A52">
        <w:t>f</w:t>
      </w:r>
      <w:r>
        <w:t>rom</w:t>
      </w:r>
      <w:r w:rsidRPr="00283A52">
        <w:t xml:space="preserve"> this study are </w:t>
      </w:r>
      <w:r>
        <w:t xml:space="preserve">more likely to be </w:t>
      </w:r>
      <w:r w:rsidRPr="00283A52">
        <w:t>representa</w:t>
      </w:r>
      <w:r>
        <w:t>tive of women living in Scotland than those using samples from healthcare settings, such as</w:t>
      </w:r>
      <w:r w:rsidRPr="00283A52">
        <w:t xml:space="preserve"> gyna</w:t>
      </w:r>
      <w:r>
        <w:t xml:space="preserve">ecological </w:t>
      </w:r>
      <w:r w:rsidR="00620DE5">
        <w:t>clinics</w:t>
      </w:r>
      <w:r w:rsidR="00620DE5">
        <w:rPr>
          <w:vertAlign w:val="superscript"/>
        </w:rPr>
        <w:t>67</w:t>
      </w:r>
      <w:r>
        <w:rPr>
          <w:vertAlign w:val="superscript"/>
        </w:rPr>
        <w:t>-</w:t>
      </w:r>
      <w:r w:rsidR="00620DE5">
        <w:rPr>
          <w:vertAlign w:val="superscript"/>
        </w:rPr>
        <w:t>69</w:t>
      </w:r>
      <w:r w:rsidRPr="00283A52">
        <w:t xml:space="preserve">. </w:t>
      </w:r>
      <w:r w:rsidR="00E63CA1">
        <w:t>However, we acknowledge that a higher proportion of respondents had degree level or professional qualifications than would be expected in the north east of Scotland (39% vs. 20%</w:t>
      </w:r>
      <w:proofErr w:type="gramStart"/>
      <w:r w:rsidR="00E63CA1">
        <w:t>)</w:t>
      </w:r>
      <w:r w:rsidR="00620DE5" w:rsidRPr="00620DE5">
        <w:rPr>
          <w:vertAlign w:val="superscript"/>
        </w:rPr>
        <w:t>70</w:t>
      </w:r>
      <w:proofErr w:type="gramEnd"/>
      <w:r w:rsidR="00E63CA1">
        <w:t xml:space="preserve"> and the proportion of respondents with an overweight, obese or morbidly obese BMI was lower than found among similarly aged women in the 2010 Scottish Health Survey (56% vs. 68%)</w:t>
      </w:r>
      <w:r w:rsidR="00620DE5" w:rsidRPr="00620DE5">
        <w:rPr>
          <w:vertAlign w:val="superscript"/>
        </w:rPr>
        <w:t>71</w:t>
      </w:r>
      <w:r w:rsidR="00E63CA1">
        <w:t xml:space="preserve"> which may limit the </w:t>
      </w:r>
      <w:proofErr w:type="spellStart"/>
      <w:r w:rsidR="00E63CA1">
        <w:t>generalisability</w:t>
      </w:r>
      <w:proofErr w:type="spellEnd"/>
      <w:r w:rsidR="00E63CA1">
        <w:t xml:space="preserve"> of our findings. </w:t>
      </w:r>
      <w:proofErr w:type="gramStart"/>
      <w:r>
        <w:t>A strength</w:t>
      </w:r>
      <w:proofErr w:type="gramEnd"/>
      <w:r>
        <w:t xml:space="preserve"> of the study was its size, giving greater power to the statistical tests, especially in different menopausal subgroups.</w:t>
      </w:r>
    </w:p>
    <w:p w:rsidR="00676448" w:rsidRPr="00D20377" w:rsidRDefault="00676448" w:rsidP="005F2B03">
      <w:pPr>
        <w:spacing w:line="480" w:lineRule="auto"/>
        <w:jc w:val="both"/>
      </w:pPr>
    </w:p>
    <w:p w:rsidR="00676448" w:rsidRDefault="00676448" w:rsidP="005F2B03">
      <w:pPr>
        <w:spacing w:line="480" w:lineRule="auto"/>
        <w:jc w:val="both"/>
      </w:pPr>
      <w:r>
        <w:t xml:space="preserve">Symptom grouping (cluster analysis) </w:t>
      </w:r>
      <w:r w:rsidRPr="00283A52">
        <w:t>has been carried out in other studies invest</w:t>
      </w:r>
      <w:r>
        <w:t>igating the menopause</w:t>
      </w:r>
      <w:r>
        <w:rPr>
          <w:vertAlign w:val="superscript"/>
        </w:rPr>
        <w:t xml:space="preserve">36, </w:t>
      </w:r>
      <w:r w:rsidR="00037813">
        <w:rPr>
          <w:vertAlign w:val="superscript"/>
        </w:rPr>
        <w:t>72</w:t>
      </w:r>
      <w:r>
        <w:rPr>
          <w:vertAlign w:val="superscript"/>
        </w:rPr>
        <w:t>-</w:t>
      </w:r>
      <w:r w:rsidR="00037813">
        <w:rPr>
          <w:vertAlign w:val="superscript"/>
        </w:rPr>
        <w:t>74</w:t>
      </w:r>
      <w:r w:rsidR="00037813">
        <w:t xml:space="preserve"> </w:t>
      </w:r>
      <w:r>
        <w:t>and</w:t>
      </w:r>
      <w:r w:rsidRPr="00283A52">
        <w:t xml:space="preserve"> </w:t>
      </w:r>
      <w:r>
        <w:t xml:space="preserve">has been advocated as </w:t>
      </w:r>
      <w:r w:rsidRPr="00283A52">
        <w:t>a more robust method than grouping symptoms into arbitrary categories for s</w:t>
      </w:r>
      <w:r>
        <w:t xml:space="preserve">ubsequent </w:t>
      </w:r>
      <w:r w:rsidR="00037813">
        <w:t>analysis</w:t>
      </w:r>
      <w:r w:rsidR="00037813">
        <w:rPr>
          <w:vertAlign w:val="superscript"/>
        </w:rPr>
        <w:t>75</w:t>
      </w:r>
      <w:r w:rsidRPr="00283A52">
        <w:t>.</w:t>
      </w:r>
      <w:r>
        <w:t xml:space="preserve"> </w:t>
      </w:r>
      <w:proofErr w:type="gramStart"/>
      <w:r>
        <w:t>Another</w:t>
      </w:r>
      <w:r w:rsidRPr="00283A52">
        <w:t xml:space="preserve"> strength</w:t>
      </w:r>
      <w:proofErr w:type="gramEnd"/>
      <w:r w:rsidRPr="00283A52">
        <w:t xml:space="preserve"> of </w:t>
      </w:r>
      <w:r>
        <w:t>our</w:t>
      </w:r>
      <w:r w:rsidRPr="00283A52">
        <w:t xml:space="preserve"> study was </w:t>
      </w:r>
      <w:r>
        <w:t xml:space="preserve">the </w:t>
      </w:r>
      <w:r w:rsidRPr="00283A52">
        <w:t xml:space="preserve">separate </w:t>
      </w:r>
      <w:r>
        <w:t>analyse</w:t>
      </w:r>
      <w:r w:rsidRPr="00283A52">
        <w:t xml:space="preserve">s </w:t>
      </w:r>
      <w:r>
        <w:t>of</w:t>
      </w:r>
      <w:r w:rsidRPr="00283A52">
        <w:t xml:space="preserve"> factors associated with </w:t>
      </w:r>
      <w:r w:rsidRPr="00AB3759">
        <w:rPr>
          <w:i/>
          <w:iCs/>
        </w:rPr>
        <w:t>hot flushes</w:t>
      </w:r>
      <w:r w:rsidRPr="00283A52">
        <w:t xml:space="preserve">, </w:t>
      </w:r>
      <w:r w:rsidRPr="00AB3759">
        <w:rPr>
          <w:i/>
          <w:iCs/>
        </w:rPr>
        <w:t>night sweats</w:t>
      </w:r>
      <w:r w:rsidRPr="00283A52">
        <w:t xml:space="preserve"> and </w:t>
      </w:r>
      <w:r w:rsidRPr="00A17BDF">
        <w:rPr>
          <w:i/>
          <w:iCs/>
        </w:rPr>
        <w:t>vaginal dryness</w:t>
      </w:r>
      <w:r w:rsidRPr="00283A52">
        <w:t>. Although factors analysis</w:t>
      </w:r>
      <w:r>
        <w:t xml:space="preserve"> showed</w:t>
      </w:r>
      <w:r w:rsidRPr="00283A52">
        <w:t xml:space="preserve"> that </w:t>
      </w:r>
      <w:r w:rsidRPr="00AB3759">
        <w:rPr>
          <w:i/>
          <w:iCs/>
        </w:rPr>
        <w:t>hot flushes</w:t>
      </w:r>
      <w:r w:rsidRPr="00283A52">
        <w:t xml:space="preserve"> and </w:t>
      </w:r>
      <w:r w:rsidRPr="00AB3759">
        <w:rPr>
          <w:i/>
          <w:iCs/>
        </w:rPr>
        <w:t>night sweats</w:t>
      </w:r>
      <w:r>
        <w:t xml:space="preserve"> contributed to the same factor, </w:t>
      </w:r>
      <w:r w:rsidRPr="00283A52">
        <w:t>and numerous studies have explored variables associated with</w:t>
      </w:r>
      <w:r>
        <w:t xml:space="preserve"> the</w:t>
      </w:r>
      <w:r w:rsidRPr="00283A52">
        <w:t xml:space="preserve"> reporting</w:t>
      </w:r>
      <w:r>
        <w:t xml:space="preserve"> of vasomotor symptoms</w:t>
      </w:r>
      <w:r>
        <w:rPr>
          <w:vertAlign w:val="superscript"/>
        </w:rPr>
        <w:t>6-8, 36</w:t>
      </w:r>
      <w:r w:rsidRPr="00283A52">
        <w:t xml:space="preserve">, </w:t>
      </w:r>
      <w:r>
        <w:t xml:space="preserve">other </w:t>
      </w:r>
      <w:r w:rsidRPr="00283A52">
        <w:t xml:space="preserve">studies have shown that </w:t>
      </w:r>
      <w:r>
        <w:t xml:space="preserve">variables </w:t>
      </w:r>
      <w:r w:rsidRPr="008C407C">
        <w:t xml:space="preserve">associated with </w:t>
      </w:r>
      <w:r w:rsidRPr="008C407C">
        <w:rPr>
          <w:i/>
          <w:iCs/>
        </w:rPr>
        <w:t>hot flushes</w:t>
      </w:r>
      <w:r w:rsidRPr="008C407C">
        <w:t xml:space="preserve"> and </w:t>
      </w:r>
      <w:r w:rsidRPr="008C407C">
        <w:rPr>
          <w:i/>
          <w:iCs/>
        </w:rPr>
        <w:t>nights sweats</w:t>
      </w:r>
      <w:r w:rsidRPr="008C407C">
        <w:t xml:space="preserve"> differ </w:t>
      </w:r>
      <w:r>
        <w:t>when symptoms are examined individually</w:t>
      </w:r>
      <w:r>
        <w:rPr>
          <w:vertAlign w:val="superscript"/>
        </w:rPr>
        <w:t>20, 38</w:t>
      </w:r>
      <w:r>
        <w:t xml:space="preserve">. Our results provide a </w:t>
      </w:r>
      <w:r>
        <w:lastRenderedPageBreak/>
        <w:t xml:space="preserve">further caution against </w:t>
      </w:r>
      <w:r w:rsidRPr="008C407C">
        <w:t>the combin</w:t>
      </w:r>
      <w:r>
        <w:t xml:space="preserve">ing of menopausal symptoms </w:t>
      </w:r>
      <w:r w:rsidRPr="008C407C">
        <w:t xml:space="preserve">into a single </w:t>
      </w:r>
      <w:r>
        <w:t xml:space="preserve">category such as </w:t>
      </w:r>
      <w:r w:rsidRPr="008C407C">
        <w:t xml:space="preserve">“vasomotor symptom”. </w:t>
      </w:r>
    </w:p>
    <w:p w:rsidR="00676448" w:rsidRDefault="00676448" w:rsidP="005F2B03">
      <w:pPr>
        <w:spacing w:line="480" w:lineRule="auto"/>
        <w:jc w:val="both"/>
      </w:pPr>
    </w:p>
    <w:p w:rsidR="00676448" w:rsidRDefault="00676448" w:rsidP="005F2B03">
      <w:pPr>
        <w:spacing w:line="480" w:lineRule="auto"/>
        <w:jc w:val="both"/>
      </w:pPr>
      <w:r>
        <w:t>Our study adds to the f</w:t>
      </w:r>
      <w:r w:rsidRPr="00283A52">
        <w:t xml:space="preserve">ew studies have looked at </w:t>
      </w:r>
      <w:r>
        <w:t>variables</w:t>
      </w:r>
      <w:r w:rsidRPr="00283A52">
        <w:t xml:space="preserve"> associated with</w:t>
      </w:r>
      <w:r>
        <w:t xml:space="preserve"> the</w:t>
      </w:r>
      <w:r w:rsidRPr="00283A52">
        <w:t xml:space="preserve"> reporting </w:t>
      </w:r>
      <w:r>
        <w:t xml:space="preserve">of </w:t>
      </w:r>
      <w:r w:rsidRPr="00A17BDF">
        <w:rPr>
          <w:i/>
          <w:iCs/>
        </w:rPr>
        <w:t>vaginal dryness</w:t>
      </w:r>
      <w:r>
        <w:rPr>
          <w:vertAlign w:val="superscript"/>
        </w:rPr>
        <w:t xml:space="preserve">8, 11, 23, </w:t>
      </w:r>
      <w:r w:rsidR="00037813">
        <w:rPr>
          <w:vertAlign w:val="superscript"/>
        </w:rPr>
        <w:t>76</w:t>
      </w:r>
      <w:r>
        <w:rPr>
          <w:vertAlign w:val="superscript"/>
        </w:rPr>
        <w:t>-</w:t>
      </w:r>
      <w:r w:rsidR="00037813">
        <w:rPr>
          <w:vertAlign w:val="superscript"/>
        </w:rPr>
        <w:t>77</w:t>
      </w:r>
      <w:r>
        <w:t xml:space="preserve">. </w:t>
      </w:r>
    </w:p>
    <w:p w:rsidR="00F1141F" w:rsidRDefault="00F1141F" w:rsidP="005F2B03">
      <w:pPr>
        <w:spacing w:line="480" w:lineRule="auto"/>
        <w:jc w:val="both"/>
      </w:pPr>
    </w:p>
    <w:p w:rsidR="00676448" w:rsidRDefault="00676448" w:rsidP="005F2B03">
      <w:pPr>
        <w:spacing w:line="480" w:lineRule="auto"/>
        <w:jc w:val="both"/>
      </w:pPr>
      <w:r w:rsidRPr="00283A52">
        <w:t xml:space="preserve">A limitation of </w:t>
      </w:r>
      <w:r>
        <w:t>our</w:t>
      </w:r>
      <w:r w:rsidRPr="00283A52">
        <w:t xml:space="preserve"> work is the cross-sectional na</w:t>
      </w:r>
      <w:r>
        <w:t>ture of the survey. W</w:t>
      </w:r>
      <w:r w:rsidRPr="00283A52">
        <w:t>hilst it was possible to investigate</w:t>
      </w:r>
      <w:r>
        <w:t xml:space="preserve"> different patterns of associations, </w:t>
      </w:r>
      <w:r w:rsidRPr="00283A52">
        <w:t xml:space="preserve">the temporal sequence of cause and effect could not be established. </w:t>
      </w:r>
      <w:r>
        <w:t>A</w:t>
      </w:r>
      <w:r w:rsidRPr="00283A52">
        <w:t xml:space="preserve">lthough a </w:t>
      </w:r>
      <w:r>
        <w:t xml:space="preserve">wide </w:t>
      </w:r>
      <w:r w:rsidRPr="00283A52">
        <w:t>range of</w:t>
      </w:r>
      <w:r>
        <w:t xml:space="preserve"> socio-demographic</w:t>
      </w:r>
      <w:r w:rsidRPr="00283A52">
        <w:t>, physical and psycho</w:t>
      </w:r>
      <w:r>
        <w:t>logical</w:t>
      </w:r>
      <w:r w:rsidRPr="00283A52">
        <w:t xml:space="preserve"> </w:t>
      </w:r>
      <w:r>
        <w:t xml:space="preserve">variables </w:t>
      </w:r>
      <w:r w:rsidRPr="00283A52">
        <w:t xml:space="preserve">were assessed in the questionnaire, some, such as diet and </w:t>
      </w:r>
      <w:r>
        <w:t>ethnicity</w:t>
      </w:r>
      <w:r w:rsidRPr="00283A52">
        <w:t>, were not</w:t>
      </w:r>
      <w:r>
        <w:t xml:space="preserve"> because of space constraints</w:t>
      </w:r>
      <w:r w:rsidRPr="00283A52">
        <w:t xml:space="preserve">. </w:t>
      </w:r>
      <w:r>
        <w:t>Some of the associations, therefore, may be due to residual confounding.</w:t>
      </w:r>
      <w:r w:rsidRPr="00283A52" w:rsidDel="006C3C95">
        <w:t xml:space="preserve"> </w:t>
      </w:r>
      <w:r>
        <w:t xml:space="preserve">A further limitation was the investigation of numerous variables, making the study prone to type I error.  </w:t>
      </w:r>
    </w:p>
    <w:p w:rsidR="00676448" w:rsidRDefault="00676448" w:rsidP="005F2B03">
      <w:pPr>
        <w:spacing w:line="480" w:lineRule="auto"/>
        <w:jc w:val="both"/>
        <w:rPr>
          <w:b/>
          <w:bCs/>
        </w:rPr>
      </w:pPr>
    </w:p>
    <w:p w:rsidR="00676448" w:rsidRPr="00131B4E" w:rsidRDefault="00676448" w:rsidP="005F2B03">
      <w:pPr>
        <w:spacing w:line="480" w:lineRule="auto"/>
        <w:jc w:val="both"/>
      </w:pPr>
      <w:r w:rsidRPr="00771651">
        <w:rPr>
          <w:b/>
          <w:bCs/>
        </w:rPr>
        <w:t>Conclusion</w:t>
      </w:r>
    </w:p>
    <w:p w:rsidR="00676448" w:rsidRDefault="00676448" w:rsidP="005F2B03">
      <w:pPr>
        <w:spacing w:line="480" w:lineRule="auto"/>
        <w:jc w:val="both"/>
      </w:pPr>
      <w:r>
        <w:t xml:space="preserve">We have demonstrated that whilst </w:t>
      </w:r>
      <w:r w:rsidRPr="006F3809">
        <w:rPr>
          <w:i/>
          <w:iCs/>
        </w:rPr>
        <w:t>hot flushes</w:t>
      </w:r>
      <w:r>
        <w:t xml:space="preserve"> and </w:t>
      </w:r>
      <w:r w:rsidRPr="006F3809">
        <w:rPr>
          <w:i/>
          <w:iCs/>
        </w:rPr>
        <w:t>night sweats</w:t>
      </w:r>
      <w:r>
        <w:t xml:space="preserve"> cluster, the socio-demographic, lifestyle and psychological variables independently associated with these symptoms vary. This study highlights the importance of investigating each of the classic menopausal symptoms separately. Combining symptoms into categories such as vasomotor symptoms may lead to inaccurate conclusions about variables associated with the underlying symptoms. Our results also suggest that a single approach to managing menopausal symptoms is unlikely to be successful.</w:t>
      </w:r>
    </w:p>
    <w:p w:rsidR="00676448" w:rsidRPr="008329FE" w:rsidRDefault="00676448" w:rsidP="005B1D21">
      <w:pPr>
        <w:spacing w:line="360" w:lineRule="auto"/>
        <w:jc w:val="both"/>
      </w:pPr>
      <w:r>
        <w:br w:type="page"/>
      </w:r>
      <w:r w:rsidRPr="008329FE">
        <w:lastRenderedPageBreak/>
        <w:t>References</w:t>
      </w:r>
    </w:p>
    <w:p w:rsidR="00676448" w:rsidRPr="008329FE" w:rsidRDefault="00676448" w:rsidP="00053D7B"/>
    <w:p w:rsidR="00676448" w:rsidRPr="008329FE" w:rsidRDefault="00676448" w:rsidP="005B1D21">
      <w:pPr>
        <w:pStyle w:val="ListParagraph"/>
        <w:numPr>
          <w:ilvl w:val="0"/>
          <w:numId w:val="13"/>
        </w:numPr>
        <w:spacing w:before="120" w:after="120" w:line="480" w:lineRule="auto"/>
        <w:ind w:left="357" w:hanging="357"/>
        <w:jc w:val="both"/>
      </w:pPr>
      <w:r w:rsidRPr="008329FE">
        <w:t xml:space="preserve">WHO technical support series. </w:t>
      </w:r>
      <w:r w:rsidRPr="008329FE">
        <w:rPr>
          <w:i/>
          <w:iCs/>
        </w:rPr>
        <w:t>Research on the Menopause in the 1990’s</w:t>
      </w:r>
      <w:r w:rsidRPr="008329FE">
        <w:t>. World Health Organisation Geneva, 1996.</w:t>
      </w:r>
    </w:p>
    <w:p w:rsidR="00676448" w:rsidRPr="008329FE" w:rsidRDefault="00676448" w:rsidP="005B1D21">
      <w:pPr>
        <w:pStyle w:val="ListParagraph"/>
        <w:numPr>
          <w:ilvl w:val="0"/>
          <w:numId w:val="13"/>
        </w:numPr>
        <w:spacing w:before="120" w:after="120" w:line="480" w:lineRule="auto"/>
        <w:ind w:left="357" w:hanging="357"/>
        <w:jc w:val="both"/>
      </w:pPr>
      <w:r w:rsidRPr="008329FE">
        <w:t xml:space="preserve">Nelson HD. Menopause. </w:t>
      </w:r>
      <w:r w:rsidRPr="008329FE">
        <w:rPr>
          <w:i/>
          <w:iCs/>
        </w:rPr>
        <w:t>Lancet</w:t>
      </w:r>
      <w:r w:rsidRPr="008329FE">
        <w:t xml:space="preserve"> 2008; </w:t>
      </w:r>
      <w:r w:rsidRPr="008329FE">
        <w:rPr>
          <w:b/>
          <w:bCs/>
        </w:rPr>
        <w:t>371</w:t>
      </w:r>
      <w:r w:rsidRPr="008329FE">
        <w:t>(9614):760-770.</w:t>
      </w:r>
    </w:p>
    <w:p w:rsidR="00676448" w:rsidRPr="008329FE" w:rsidRDefault="00676448" w:rsidP="005B1D21">
      <w:pPr>
        <w:pStyle w:val="NormalWeb"/>
        <w:numPr>
          <w:ilvl w:val="0"/>
          <w:numId w:val="13"/>
        </w:numPr>
        <w:spacing w:before="120" w:beforeAutospacing="0" w:after="120" w:afterAutospacing="0" w:line="480" w:lineRule="auto"/>
        <w:ind w:left="357" w:hanging="357"/>
        <w:jc w:val="both"/>
      </w:pPr>
      <w:r w:rsidRPr="008329FE">
        <w:t xml:space="preserve">Freeman EW, </w:t>
      </w:r>
      <w:proofErr w:type="spellStart"/>
      <w:r w:rsidRPr="008329FE">
        <w:t>Sherif</w:t>
      </w:r>
      <w:proofErr w:type="spellEnd"/>
      <w:r w:rsidRPr="008329FE">
        <w:t xml:space="preserve"> K. Prevalence of hot flushes and night sweats around the world: a systematic review. </w:t>
      </w:r>
      <w:r w:rsidRPr="008329FE">
        <w:rPr>
          <w:i/>
          <w:iCs/>
        </w:rPr>
        <w:t>Climacteric</w:t>
      </w:r>
      <w:r w:rsidRPr="008329FE">
        <w:t xml:space="preserve"> 2007;</w:t>
      </w:r>
      <w:r w:rsidRPr="008329FE">
        <w:rPr>
          <w:i/>
          <w:iCs/>
        </w:rPr>
        <w:t xml:space="preserve"> </w:t>
      </w:r>
      <w:r w:rsidRPr="008329FE">
        <w:rPr>
          <w:b/>
          <w:bCs/>
        </w:rPr>
        <w:t>10</w:t>
      </w:r>
      <w:r w:rsidRPr="008329FE">
        <w:t>(3):197-214.</w:t>
      </w:r>
    </w:p>
    <w:p w:rsidR="00676448" w:rsidRPr="008329FE" w:rsidRDefault="00676448" w:rsidP="005B1D21">
      <w:pPr>
        <w:pStyle w:val="ListParagraph"/>
        <w:numPr>
          <w:ilvl w:val="0"/>
          <w:numId w:val="13"/>
        </w:numPr>
        <w:spacing w:before="120" w:after="120" w:line="480" w:lineRule="auto"/>
        <w:ind w:left="357" w:hanging="357"/>
        <w:jc w:val="both"/>
      </w:pPr>
      <w:r w:rsidRPr="008329FE">
        <w:t xml:space="preserve">Avis NE, </w:t>
      </w:r>
      <w:proofErr w:type="spellStart"/>
      <w:r w:rsidRPr="008329FE">
        <w:t>Brockwell</w:t>
      </w:r>
      <w:proofErr w:type="spellEnd"/>
      <w:r w:rsidRPr="008329FE">
        <w:t xml:space="preserve"> S, Colvin A. A universal menopausal syndrome? </w:t>
      </w:r>
      <w:proofErr w:type="gramStart"/>
      <w:r w:rsidRPr="008329FE">
        <w:rPr>
          <w:i/>
          <w:iCs/>
        </w:rPr>
        <w:t>Am</w:t>
      </w:r>
      <w:proofErr w:type="gramEnd"/>
      <w:r w:rsidRPr="008329FE">
        <w:rPr>
          <w:i/>
          <w:iCs/>
        </w:rPr>
        <w:t xml:space="preserve"> J Med </w:t>
      </w:r>
      <w:r w:rsidRPr="008329FE">
        <w:t>2005;</w:t>
      </w:r>
      <w:r w:rsidRPr="008329FE">
        <w:rPr>
          <w:i/>
          <w:iCs/>
        </w:rPr>
        <w:t xml:space="preserve"> </w:t>
      </w:r>
      <w:r w:rsidRPr="008329FE">
        <w:rPr>
          <w:b/>
          <w:bCs/>
        </w:rPr>
        <w:t>118</w:t>
      </w:r>
      <w:r w:rsidRPr="008329FE">
        <w:t>(12B):37S-46S.</w:t>
      </w:r>
    </w:p>
    <w:p w:rsidR="00676448" w:rsidRPr="008329FE" w:rsidRDefault="00676448" w:rsidP="005B1D21">
      <w:pPr>
        <w:pStyle w:val="ListParagraph"/>
        <w:numPr>
          <w:ilvl w:val="0"/>
          <w:numId w:val="13"/>
        </w:numPr>
        <w:spacing w:before="120" w:after="120" w:line="480" w:lineRule="auto"/>
        <w:ind w:left="357" w:hanging="357"/>
        <w:jc w:val="both"/>
      </w:pPr>
      <w:r w:rsidRPr="008329FE">
        <w:t xml:space="preserve">Al-Baghdadi O, </w:t>
      </w:r>
      <w:proofErr w:type="spellStart"/>
      <w:r w:rsidRPr="008329FE">
        <w:t>Ewies</w:t>
      </w:r>
      <w:proofErr w:type="spellEnd"/>
      <w:r w:rsidRPr="008329FE">
        <w:t xml:space="preserve"> AAA. Topical </w:t>
      </w:r>
      <w:proofErr w:type="spellStart"/>
      <w:r w:rsidRPr="008329FE">
        <w:t>estrogen</w:t>
      </w:r>
      <w:proofErr w:type="spellEnd"/>
      <w:r w:rsidRPr="008329FE">
        <w:t xml:space="preserve"> therapy in the management of postmenopausal vaginal atrophy: an up-to-date overview. </w:t>
      </w:r>
      <w:r w:rsidRPr="008329FE">
        <w:rPr>
          <w:i/>
          <w:iCs/>
        </w:rPr>
        <w:t>Climacteric</w:t>
      </w:r>
      <w:r w:rsidRPr="008329FE">
        <w:t xml:space="preserve"> 2009;</w:t>
      </w:r>
      <w:r w:rsidRPr="008329FE">
        <w:rPr>
          <w:i/>
          <w:iCs/>
        </w:rPr>
        <w:t xml:space="preserve"> </w:t>
      </w:r>
      <w:r w:rsidRPr="008329FE">
        <w:rPr>
          <w:b/>
          <w:bCs/>
        </w:rPr>
        <w:t>12</w:t>
      </w:r>
      <w:r w:rsidRPr="008329FE">
        <w:t>(2):91-105.</w:t>
      </w:r>
    </w:p>
    <w:p w:rsidR="00676448" w:rsidRPr="008329FE" w:rsidRDefault="00676448" w:rsidP="005B1D21">
      <w:pPr>
        <w:pStyle w:val="ListParagraph"/>
        <w:numPr>
          <w:ilvl w:val="0"/>
          <w:numId w:val="13"/>
        </w:numPr>
        <w:spacing w:before="120" w:after="120" w:line="480" w:lineRule="auto"/>
        <w:ind w:left="357" w:hanging="357"/>
        <w:jc w:val="both"/>
      </w:pPr>
      <w:proofErr w:type="spellStart"/>
      <w:r w:rsidRPr="008329FE">
        <w:t>Kumari</w:t>
      </w:r>
      <w:proofErr w:type="spellEnd"/>
      <w:r w:rsidRPr="008329FE">
        <w:t xml:space="preserve"> M, </w:t>
      </w:r>
      <w:proofErr w:type="spellStart"/>
      <w:r w:rsidRPr="008329FE">
        <w:t>Staffod</w:t>
      </w:r>
      <w:proofErr w:type="spellEnd"/>
      <w:r w:rsidRPr="008329FE">
        <w:t xml:space="preserve"> M, Marmot M.  The menopausal transition was associated with decreased health functioning in women who report menopausal symptoms. </w:t>
      </w:r>
      <w:r w:rsidRPr="008329FE">
        <w:rPr>
          <w:i/>
          <w:iCs/>
        </w:rPr>
        <w:t xml:space="preserve">J </w:t>
      </w:r>
      <w:proofErr w:type="spellStart"/>
      <w:r w:rsidRPr="008329FE">
        <w:rPr>
          <w:i/>
          <w:iCs/>
        </w:rPr>
        <w:t>Clin</w:t>
      </w:r>
      <w:proofErr w:type="spellEnd"/>
      <w:r w:rsidRPr="008329FE">
        <w:rPr>
          <w:i/>
          <w:iCs/>
        </w:rPr>
        <w:t xml:space="preserve"> </w:t>
      </w:r>
      <w:proofErr w:type="spellStart"/>
      <w:r w:rsidRPr="008329FE">
        <w:rPr>
          <w:i/>
          <w:iCs/>
        </w:rPr>
        <w:t>Epidemiol</w:t>
      </w:r>
      <w:proofErr w:type="spellEnd"/>
      <w:r w:rsidRPr="008329FE">
        <w:t xml:space="preserve"> 2005;</w:t>
      </w:r>
      <w:r w:rsidRPr="008329FE">
        <w:rPr>
          <w:i/>
          <w:iCs/>
        </w:rPr>
        <w:t xml:space="preserve"> </w:t>
      </w:r>
      <w:r w:rsidRPr="008329FE">
        <w:rPr>
          <w:b/>
          <w:bCs/>
        </w:rPr>
        <w:t>58</w:t>
      </w:r>
      <w:r w:rsidRPr="008329FE">
        <w:t>(7):719-727.</w:t>
      </w:r>
    </w:p>
    <w:p w:rsidR="00676448" w:rsidRPr="008329FE" w:rsidRDefault="00676448" w:rsidP="005B1D21">
      <w:pPr>
        <w:pStyle w:val="ListParagraph"/>
        <w:numPr>
          <w:ilvl w:val="0"/>
          <w:numId w:val="13"/>
        </w:numPr>
        <w:spacing w:before="120" w:after="120" w:line="480" w:lineRule="auto"/>
        <w:ind w:left="357" w:hanging="357"/>
        <w:jc w:val="both"/>
      </w:pPr>
      <w:r w:rsidRPr="008329FE">
        <w:t xml:space="preserve">Avis NE, </w:t>
      </w:r>
      <w:proofErr w:type="spellStart"/>
      <w:r w:rsidRPr="008329FE">
        <w:t>Stellato</w:t>
      </w:r>
      <w:proofErr w:type="spellEnd"/>
      <w:r w:rsidRPr="008329FE">
        <w:t xml:space="preserve"> R, Crawford S et al. Is there a menopausal syndrome? Menopausal status and symptoms across racial/ethnic groups. </w:t>
      </w:r>
      <w:r w:rsidRPr="008329FE">
        <w:rPr>
          <w:i/>
          <w:iCs/>
        </w:rPr>
        <w:t xml:space="preserve">Soc </w:t>
      </w:r>
      <w:proofErr w:type="spellStart"/>
      <w:proofErr w:type="gramStart"/>
      <w:r w:rsidRPr="008329FE">
        <w:rPr>
          <w:i/>
          <w:iCs/>
        </w:rPr>
        <w:t>Sci</w:t>
      </w:r>
      <w:proofErr w:type="spellEnd"/>
      <w:r w:rsidRPr="008329FE">
        <w:rPr>
          <w:i/>
          <w:iCs/>
        </w:rPr>
        <w:t xml:space="preserve">  Med</w:t>
      </w:r>
      <w:proofErr w:type="gramEnd"/>
      <w:r w:rsidRPr="008329FE">
        <w:rPr>
          <w:i/>
          <w:iCs/>
        </w:rPr>
        <w:t xml:space="preserve"> </w:t>
      </w:r>
      <w:r w:rsidRPr="008329FE">
        <w:t xml:space="preserve">2001; </w:t>
      </w:r>
      <w:r w:rsidRPr="008329FE">
        <w:rPr>
          <w:b/>
          <w:bCs/>
        </w:rPr>
        <w:t>52</w:t>
      </w:r>
      <w:r w:rsidRPr="008329FE">
        <w:t>(3):345-356.</w:t>
      </w:r>
    </w:p>
    <w:p w:rsidR="00676448" w:rsidRPr="008329FE" w:rsidRDefault="00676448" w:rsidP="005B1D21">
      <w:pPr>
        <w:pStyle w:val="ListParagraph"/>
        <w:numPr>
          <w:ilvl w:val="0"/>
          <w:numId w:val="13"/>
        </w:numPr>
        <w:spacing w:after="60" w:line="480" w:lineRule="auto"/>
        <w:ind w:left="363"/>
        <w:jc w:val="both"/>
      </w:pPr>
      <w:r w:rsidRPr="008329FE">
        <w:t xml:space="preserve">Gold EB, </w:t>
      </w:r>
      <w:proofErr w:type="spellStart"/>
      <w:r w:rsidRPr="008329FE">
        <w:t>Sternfeld</w:t>
      </w:r>
      <w:proofErr w:type="spellEnd"/>
      <w:r w:rsidRPr="008329FE">
        <w:t xml:space="preserve"> B</w:t>
      </w:r>
      <w:proofErr w:type="gramStart"/>
      <w:r w:rsidRPr="008329FE">
        <w:t>,  Kelsey</w:t>
      </w:r>
      <w:proofErr w:type="gramEnd"/>
      <w:r w:rsidRPr="008329FE">
        <w:t xml:space="preserve"> JL et al. Relation of demographic and lifestyle factors to symptoms in a multi-racial/ethnic population of women 40-55 years of age. </w:t>
      </w:r>
      <w:r w:rsidRPr="008329FE">
        <w:rPr>
          <w:i/>
          <w:iCs/>
        </w:rPr>
        <w:t xml:space="preserve">Am J </w:t>
      </w:r>
      <w:proofErr w:type="spellStart"/>
      <w:r w:rsidRPr="008329FE">
        <w:rPr>
          <w:i/>
          <w:iCs/>
        </w:rPr>
        <w:t>Epidemiol</w:t>
      </w:r>
      <w:proofErr w:type="spellEnd"/>
      <w:r w:rsidRPr="008329FE">
        <w:t xml:space="preserve"> 2000;</w:t>
      </w:r>
      <w:r w:rsidRPr="008329FE">
        <w:rPr>
          <w:i/>
          <w:iCs/>
        </w:rPr>
        <w:t xml:space="preserve"> </w:t>
      </w:r>
      <w:r w:rsidRPr="008329FE">
        <w:rPr>
          <w:b/>
          <w:bCs/>
        </w:rPr>
        <w:t>152</w:t>
      </w:r>
      <w:r w:rsidRPr="008329FE">
        <w:t>(5):463-473.</w:t>
      </w:r>
    </w:p>
    <w:p w:rsidR="00676448" w:rsidRPr="008329FE" w:rsidRDefault="00676448" w:rsidP="005B1D21">
      <w:pPr>
        <w:pStyle w:val="ListParagraph"/>
        <w:numPr>
          <w:ilvl w:val="0"/>
          <w:numId w:val="13"/>
        </w:numPr>
        <w:spacing w:after="60" w:line="480" w:lineRule="auto"/>
        <w:ind w:left="363"/>
        <w:jc w:val="both"/>
      </w:pPr>
      <w:proofErr w:type="spellStart"/>
      <w:r w:rsidRPr="008329FE">
        <w:t>Polit</w:t>
      </w:r>
      <w:proofErr w:type="spellEnd"/>
      <w:r w:rsidRPr="008329FE">
        <w:t xml:space="preserve"> DF, La Rocco SA. Social and psychological correlates of menopausal symptoms. </w:t>
      </w:r>
      <w:proofErr w:type="spellStart"/>
      <w:r w:rsidRPr="008329FE">
        <w:rPr>
          <w:i/>
          <w:iCs/>
        </w:rPr>
        <w:t>Psychosom</w:t>
      </w:r>
      <w:proofErr w:type="spellEnd"/>
      <w:r w:rsidRPr="008329FE">
        <w:rPr>
          <w:i/>
          <w:iCs/>
        </w:rPr>
        <w:t xml:space="preserve"> Med </w:t>
      </w:r>
      <w:r w:rsidRPr="008329FE">
        <w:t xml:space="preserve">1980; </w:t>
      </w:r>
      <w:r w:rsidRPr="008329FE">
        <w:rPr>
          <w:b/>
          <w:bCs/>
        </w:rPr>
        <w:t>42</w:t>
      </w:r>
      <w:r w:rsidRPr="008329FE">
        <w:t>(3): 335-345.</w:t>
      </w:r>
    </w:p>
    <w:p w:rsidR="00676448" w:rsidRPr="008329FE" w:rsidRDefault="00676448" w:rsidP="005B1D21">
      <w:pPr>
        <w:pStyle w:val="ListParagraph"/>
        <w:numPr>
          <w:ilvl w:val="0"/>
          <w:numId w:val="13"/>
        </w:numPr>
        <w:spacing w:after="60" w:line="480" w:lineRule="auto"/>
        <w:ind w:left="363"/>
        <w:jc w:val="both"/>
      </w:pPr>
      <w:r w:rsidRPr="008329FE">
        <w:t xml:space="preserve">Guthrie JR. Hot flushes during the menopause transition: a longitudinal study in Australian –born women. </w:t>
      </w:r>
      <w:r w:rsidRPr="008329FE">
        <w:rPr>
          <w:i/>
          <w:iCs/>
        </w:rPr>
        <w:t>Menopause</w:t>
      </w:r>
      <w:r w:rsidRPr="008329FE">
        <w:t xml:space="preserve"> 2005; </w:t>
      </w:r>
      <w:r w:rsidRPr="008329FE">
        <w:rPr>
          <w:b/>
          <w:bCs/>
        </w:rPr>
        <w:t>12</w:t>
      </w:r>
      <w:r w:rsidRPr="008329FE">
        <w:t>(4): 460-467.</w:t>
      </w:r>
    </w:p>
    <w:p w:rsidR="00676448" w:rsidRPr="008329FE" w:rsidRDefault="00676448" w:rsidP="005B1D21">
      <w:pPr>
        <w:pStyle w:val="ListParagraph"/>
        <w:numPr>
          <w:ilvl w:val="0"/>
          <w:numId w:val="13"/>
        </w:numPr>
        <w:spacing w:after="60" w:line="480" w:lineRule="auto"/>
        <w:ind w:left="363"/>
        <w:jc w:val="both"/>
      </w:pPr>
      <w:r w:rsidRPr="008329FE">
        <w:lastRenderedPageBreak/>
        <w:t xml:space="preserve">Li C, </w:t>
      </w:r>
      <w:proofErr w:type="spellStart"/>
      <w:r w:rsidRPr="008329FE">
        <w:t>Samsioe</w:t>
      </w:r>
      <w:proofErr w:type="spellEnd"/>
      <w:r w:rsidRPr="008329FE">
        <w:t xml:space="preserve"> G, </w:t>
      </w:r>
      <w:proofErr w:type="spellStart"/>
      <w:r w:rsidRPr="008329FE">
        <w:t>Borgfeldt</w:t>
      </w:r>
      <w:proofErr w:type="spellEnd"/>
      <w:r w:rsidRPr="008329FE">
        <w:t xml:space="preserve"> C et al. Menopause-related symptoms: What are the background factors? A prospective population-based cohort study of Swedish women (The Women’s Health in Lund Area study). </w:t>
      </w:r>
      <w:r w:rsidRPr="008329FE">
        <w:rPr>
          <w:i/>
          <w:iCs/>
        </w:rPr>
        <w:t xml:space="preserve">Am J of </w:t>
      </w:r>
      <w:proofErr w:type="spellStart"/>
      <w:r w:rsidRPr="008329FE">
        <w:rPr>
          <w:i/>
          <w:iCs/>
        </w:rPr>
        <w:t>Obstet</w:t>
      </w:r>
      <w:proofErr w:type="spellEnd"/>
      <w:r w:rsidRPr="008329FE">
        <w:rPr>
          <w:i/>
          <w:iCs/>
        </w:rPr>
        <w:t xml:space="preserve"> </w:t>
      </w:r>
      <w:proofErr w:type="spellStart"/>
      <w:r w:rsidRPr="008329FE">
        <w:rPr>
          <w:i/>
          <w:iCs/>
        </w:rPr>
        <w:t>Gynaecol</w:t>
      </w:r>
      <w:proofErr w:type="spellEnd"/>
      <w:r w:rsidRPr="008329FE">
        <w:t xml:space="preserve"> 2003;</w:t>
      </w:r>
      <w:r w:rsidRPr="008329FE">
        <w:rPr>
          <w:i/>
          <w:iCs/>
        </w:rPr>
        <w:t xml:space="preserve"> </w:t>
      </w:r>
      <w:r w:rsidRPr="008329FE">
        <w:rPr>
          <w:b/>
          <w:bCs/>
        </w:rPr>
        <w:t>189</w:t>
      </w:r>
      <w:r w:rsidRPr="008329FE">
        <w:t>(6):1646-1653.</w:t>
      </w:r>
    </w:p>
    <w:p w:rsidR="00676448" w:rsidRPr="008329FE" w:rsidRDefault="00676448" w:rsidP="005B1D21">
      <w:pPr>
        <w:pStyle w:val="NormalWeb"/>
        <w:numPr>
          <w:ilvl w:val="0"/>
          <w:numId w:val="13"/>
        </w:numPr>
        <w:spacing w:before="0" w:beforeAutospacing="0" w:after="60" w:afterAutospacing="0" w:line="480" w:lineRule="auto"/>
        <w:ind w:left="363"/>
        <w:jc w:val="both"/>
      </w:pPr>
      <w:r w:rsidRPr="008329FE">
        <w:t xml:space="preserve">Freeman EW, </w:t>
      </w:r>
      <w:proofErr w:type="spellStart"/>
      <w:r w:rsidRPr="008329FE">
        <w:t>Sammel</w:t>
      </w:r>
      <w:proofErr w:type="spellEnd"/>
      <w:r w:rsidRPr="008329FE">
        <w:t xml:space="preserve"> MD, </w:t>
      </w:r>
      <w:proofErr w:type="spellStart"/>
      <w:r w:rsidRPr="008329FE">
        <w:t>Grisso</w:t>
      </w:r>
      <w:proofErr w:type="spellEnd"/>
      <w:r w:rsidRPr="008329FE">
        <w:t xml:space="preserve"> JA et al. Hot flashes in the late reproductive years: risk factors for African American and Caucasian women. </w:t>
      </w:r>
      <w:r w:rsidRPr="008329FE">
        <w:rPr>
          <w:i/>
          <w:iCs/>
        </w:rPr>
        <w:t xml:space="preserve">J Women's Health </w:t>
      </w:r>
      <w:proofErr w:type="spellStart"/>
      <w:r w:rsidRPr="008329FE">
        <w:rPr>
          <w:i/>
          <w:iCs/>
        </w:rPr>
        <w:t>Gend</w:t>
      </w:r>
      <w:proofErr w:type="spellEnd"/>
      <w:r w:rsidRPr="008329FE">
        <w:rPr>
          <w:i/>
          <w:iCs/>
        </w:rPr>
        <w:t>-Based Med</w:t>
      </w:r>
      <w:r w:rsidRPr="008329FE">
        <w:t xml:space="preserve"> 2001;</w:t>
      </w:r>
      <w:r w:rsidRPr="008329FE">
        <w:rPr>
          <w:i/>
          <w:iCs/>
        </w:rPr>
        <w:t xml:space="preserve"> </w:t>
      </w:r>
      <w:r w:rsidRPr="008329FE">
        <w:rPr>
          <w:b/>
          <w:bCs/>
        </w:rPr>
        <w:t>10</w:t>
      </w:r>
      <w:r w:rsidRPr="008329FE">
        <w:t>(1):67-76.</w:t>
      </w:r>
    </w:p>
    <w:p w:rsidR="00676448" w:rsidRPr="008329FE" w:rsidRDefault="00676448" w:rsidP="005B1D21">
      <w:pPr>
        <w:pStyle w:val="ListParagraph"/>
        <w:numPr>
          <w:ilvl w:val="0"/>
          <w:numId w:val="13"/>
        </w:numPr>
        <w:spacing w:after="60" w:line="480" w:lineRule="auto"/>
        <w:ind w:left="363"/>
        <w:jc w:val="both"/>
      </w:pPr>
      <w:r w:rsidRPr="008329FE">
        <w:t xml:space="preserve">Hyde Riley E, Inui TS. Differential association of modifiable health behaviours with hot flashes in </w:t>
      </w:r>
      <w:proofErr w:type="spellStart"/>
      <w:r w:rsidRPr="008329FE">
        <w:t>perimenopausal</w:t>
      </w:r>
      <w:proofErr w:type="spellEnd"/>
      <w:r w:rsidRPr="008329FE">
        <w:t xml:space="preserve"> and postmenopausal women. </w:t>
      </w:r>
      <w:r w:rsidRPr="008329FE">
        <w:rPr>
          <w:i/>
          <w:iCs/>
        </w:rPr>
        <w:t>J Gen Intern Med</w:t>
      </w:r>
      <w:r w:rsidRPr="008329FE">
        <w:t xml:space="preserve"> 2004;</w:t>
      </w:r>
      <w:r w:rsidRPr="008329FE">
        <w:rPr>
          <w:i/>
          <w:iCs/>
        </w:rPr>
        <w:t xml:space="preserve"> </w:t>
      </w:r>
      <w:r w:rsidRPr="008329FE">
        <w:rPr>
          <w:b/>
          <w:bCs/>
        </w:rPr>
        <w:t>19</w:t>
      </w:r>
      <w:r w:rsidRPr="008329FE">
        <w:t>(7):740-746.</w:t>
      </w:r>
    </w:p>
    <w:p w:rsidR="00676448" w:rsidRPr="008329FE" w:rsidRDefault="00676448" w:rsidP="005B1D21">
      <w:pPr>
        <w:pStyle w:val="NormalWeb"/>
        <w:numPr>
          <w:ilvl w:val="0"/>
          <w:numId w:val="13"/>
        </w:numPr>
        <w:spacing w:before="0" w:beforeAutospacing="0" w:after="60" w:afterAutospacing="0" w:line="480" w:lineRule="auto"/>
        <w:ind w:left="363"/>
        <w:jc w:val="both"/>
      </w:pPr>
      <w:r w:rsidRPr="008329FE">
        <w:t xml:space="preserve">Whiteman MK, </w:t>
      </w:r>
      <w:proofErr w:type="spellStart"/>
      <w:r w:rsidRPr="008329FE">
        <w:t>Staropoli</w:t>
      </w:r>
      <w:proofErr w:type="spellEnd"/>
      <w:r w:rsidRPr="008329FE">
        <w:t xml:space="preserve"> CA, </w:t>
      </w:r>
      <w:proofErr w:type="spellStart"/>
      <w:r w:rsidRPr="008329FE">
        <w:t>Langenberg</w:t>
      </w:r>
      <w:proofErr w:type="spellEnd"/>
      <w:r w:rsidRPr="008329FE">
        <w:t xml:space="preserve"> PW et al Smoking, body mass, and hot flashes in midlife women. </w:t>
      </w:r>
      <w:r w:rsidRPr="008329FE">
        <w:rPr>
          <w:i/>
          <w:iCs/>
        </w:rPr>
        <w:t xml:space="preserve">Obstetrics and </w:t>
      </w:r>
      <w:proofErr w:type="spellStart"/>
      <w:r w:rsidRPr="008329FE">
        <w:rPr>
          <w:i/>
          <w:iCs/>
        </w:rPr>
        <w:t>Gynecology</w:t>
      </w:r>
      <w:proofErr w:type="spellEnd"/>
      <w:r w:rsidRPr="008329FE">
        <w:t xml:space="preserve"> 2003;</w:t>
      </w:r>
      <w:r w:rsidRPr="008329FE">
        <w:rPr>
          <w:i/>
          <w:iCs/>
        </w:rPr>
        <w:t xml:space="preserve"> </w:t>
      </w:r>
      <w:r w:rsidRPr="008329FE">
        <w:rPr>
          <w:b/>
          <w:bCs/>
        </w:rPr>
        <w:t>101</w:t>
      </w:r>
      <w:r w:rsidRPr="008329FE">
        <w:t xml:space="preserve">(2):264-272. </w:t>
      </w:r>
    </w:p>
    <w:p w:rsidR="00676448" w:rsidRPr="008329FE" w:rsidRDefault="00676448" w:rsidP="005B1D21">
      <w:pPr>
        <w:pStyle w:val="ListParagraph"/>
        <w:numPr>
          <w:ilvl w:val="0"/>
          <w:numId w:val="13"/>
        </w:numPr>
        <w:spacing w:after="60" w:line="480" w:lineRule="auto"/>
        <w:ind w:left="363"/>
        <w:jc w:val="both"/>
      </w:pPr>
      <w:proofErr w:type="spellStart"/>
      <w:r w:rsidRPr="008329FE">
        <w:t>Oldenhave</w:t>
      </w:r>
      <w:proofErr w:type="spellEnd"/>
      <w:r w:rsidRPr="008329FE">
        <w:t xml:space="preserve"> A, </w:t>
      </w:r>
      <w:proofErr w:type="spellStart"/>
      <w:r w:rsidRPr="008329FE">
        <w:t>Jaszmann</w:t>
      </w:r>
      <w:proofErr w:type="spellEnd"/>
      <w:r w:rsidRPr="008329FE">
        <w:t xml:space="preserve"> LJ, </w:t>
      </w:r>
      <w:proofErr w:type="spellStart"/>
      <w:r w:rsidRPr="008329FE">
        <w:t>Everaerd</w:t>
      </w:r>
      <w:proofErr w:type="spellEnd"/>
      <w:r w:rsidRPr="008329FE">
        <w:t xml:space="preserve"> WT, </w:t>
      </w:r>
      <w:proofErr w:type="spellStart"/>
      <w:r w:rsidRPr="008329FE">
        <w:t>Haspels</w:t>
      </w:r>
      <w:proofErr w:type="spellEnd"/>
      <w:r w:rsidRPr="008329FE">
        <w:t xml:space="preserve"> AA.  </w:t>
      </w:r>
      <w:proofErr w:type="spellStart"/>
      <w:r w:rsidRPr="008329FE">
        <w:t>Hysterectomized</w:t>
      </w:r>
      <w:proofErr w:type="spellEnd"/>
      <w:r w:rsidRPr="008329FE">
        <w:t xml:space="preserve"> women with ovarian conservation report more severe climacteric complaints than do normal climacteric women of a similar age. </w:t>
      </w:r>
      <w:r w:rsidRPr="008329FE">
        <w:rPr>
          <w:i/>
          <w:iCs/>
        </w:rPr>
        <w:t xml:space="preserve">Am J </w:t>
      </w:r>
      <w:proofErr w:type="spellStart"/>
      <w:r w:rsidRPr="008329FE">
        <w:rPr>
          <w:i/>
          <w:iCs/>
        </w:rPr>
        <w:t>Obstet</w:t>
      </w:r>
      <w:proofErr w:type="spellEnd"/>
      <w:r w:rsidRPr="008329FE">
        <w:rPr>
          <w:i/>
          <w:iCs/>
        </w:rPr>
        <w:t xml:space="preserve"> </w:t>
      </w:r>
      <w:proofErr w:type="spellStart"/>
      <w:r w:rsidRPr="008329FE">
        <w:rPr>
          <w:i/>
          <w:iCs/>
        </w:rPr>
        <w:t>Gynecol</w:t>
      </w:r>
      <w:proofErr w:type="spellEnd"/>
      <w:r w:rsidRPr="008329FE">
        <w:rPr>
          <w:i/>
          <w:iCs/>
        </w:rPr>
        <w:t xml:space="preserve"> </w:t>
      </w:r>
      <w:r w:rsidRPr="008329FE">
        <w:t xml:space="preserve">1993; </w:t>
      </w:r>
      <w:r w:rsidRPr="008329FE">
        <w:rPr>
          <w:b/>
          <w:bCs/>
        </w:rPr>
        <w:t>168</w:t>
      </w:r>
      <w:r w:rsidRPr="008329FE">
        <w:t>(3 part 1):765-771.</w:t>
      </w:r>
    </w:p>
    <w:p w:rsidR="00676448" w:rsidRPr="008329FE" w:rsidRDefault="00676448" w:rsidP="005B1D21">
      <w:pPr>
        <w:pStyle w:val="ListParagraph"/>
        <w:numPr>
          <w:ilvl w:val="0"/>
          <w:numId w:val="13"/>
        </w:numPr>
        <w:spacing w:after="60" w:line="480" w:lineRule="auto"/>
        <w:ind w:left="363"/>
        <w:jc w:val="both"/>
      </w:pPr>
      <w:r w:rsidRPr="008329FE">
        <w:t xml:space="preserve">Huang AJ, Grady D, Jacoby VL et al. Persistent hot flushes in older postmenopausal women. </w:t>
      </w:r>
      <w:r w:rsidRPr="008329FE">
        <w:rPr>
          <w:i/>
          <w:iCs/>
        </w:rPr>
        <w:t>Arch Intern Med</w:t>
      </w:r>
      <w:r w:rsidRPr="008329FE">
        <w:t xml:space="preserve"> 2008;</w:t>
      </w:r>
      <w:r w:rsidRPr="008329FE">
        <w:rPr>
          <w:i/>
          <w:iCs/>
        </w:rPr>
        <w:t xml:space="preserve"> </w:t>
      </w:r>
      <w:r w:rsidRPr="008329FE">
        <w:rPr>
          <w:b/>
          <w:bCs/>
        </w:rPr>
        <w:t>168</w:t>
      </w:r>
      <w:r w:rsidRPr="008329FE">
        <w:t>(8):840-846.</w:t>
      </w:r>
    </w:p>
    <w:p w:rsidR="00676448" w:rsidRPr="008329FE" w:rsidRDefault="00676448" w:rsidP="005B1D21">
      <w:pPr>
        <w:pStyle w:val="ListParagraph"/>
        <w:numPr>
          <w:ilvl w:val="0"/>
          <w:numId w:val="13"/>
        </w:numPr>
        <w:spacing w:after="60" w:line="480" w:lineRule="auto"/>
        <w:ind w:left="363"/>
        <w:jc w:val="both"/>
      </w:pPr>
      <w:r w:rsidRPr="008329FE">
        <w:t xml:space="preserve">Avis NE, </w:t>
      </w:r>
      <w:proofErr w:type="spellStart"/>
      <w:r w:rsidRPr="008329FE">
        <w:t>Ory</w:t>
      </w:r>
      <w:proofErr w:type="spellEnd"/>
      <w:r w:rsidRPr="008329FE">
        <w:t xml:space="preserve"> M, Matthews KA et al. Health-related quality of life in a multi-ethnic sample of middle-aged women. </w:t>
      </w:r>
      <w:r w:rsidRPr="008329FE">
        <w:rPr>
          <w:i/>
          <w:iCs/>
        </w:rPr>
        <w:t>Med Care</w:t>
      </w:r>
      <w:r w:rsidRPr="008329FE">
        <w:t xml:space="preserve"> 2003;</w:t>
      </w:r>
      <w:r w:rsidRPr="008329FE">
        <w:rPr>
          <w:i/>
          <w:iCs/>
        </w:rPr>
        <w:t xml:space="preserve"> </w:t>
      </w:r>
      <w:r w:rsidRPr="008329FE">
        <w:rPr>
          <w:b/>
          <w:bCs/>
        </w:rPr>
        <w:t>41</w:t>
      </w:r>
      <w:r w:rsidRPr="008329FE">
        <w:t>(11):1262-1276.</w:t>
      </w:r>
    </w:p>
    <w:p w:rsidR="00676448" w:rsidRPr="008329FE" w:rsidRDefault="00676448" w:rsidP="005B1D21">
      <w:pPr>
        <w:pStyle w:val="ListParagraph"/>
        <w:numPr>
          <w:ilvl w:val="0"/>
          <w:numId w:val="13"/>
        </w:numPr>
        <w:spacing w:after="60" w:line="480" w:lineRule="auto"/>
        <w:ind w:left="363"/>
        <w:jc w:val="both"/>
      </w:pPr>
      <w:r w:rsidRPr="008329FE">
        <w:t xml:space="preserve">Williams RE, Levine KB, </w:t>
      </w:r>
      <w:proofErr w:type="spellStart"/>
      <w:r w:rsidRPr="008329FE">
        <w:t>Kalilani</w:t>
      </w:r>
      <w:proofErr w:type="spellEnd"/>
      <w:r w:rsidRPr="008329FE">
        <w:t xml:space="preserve"> L, Lewis J, Clark RV. Menopause-specific questionnaire assessment in US population-based study shows negative impact on health-related quality of life. </w:t>
      </w:r>
      <w:proofErr w:type="spellStart"/>
      <w:r w:rsidRPr="008329FE">
        <w:rPr>
          <w:i/>
          <w:iCs/>
        </w:rPr>
        <w:t>Maturitas</w:t>
      </w:r>
      <w:proofErr w:type="spellEnd"/>
      <w:r w:rsidRPr="008329FE">
        <w:t xml:space="preserve"> 2009; </w:t>
      </w:r>
      <w:r w:rsidRPr="008329FE">
        <w:rPr>
          <w:b/>
          <w:bCs/>
        </w:rPr>
        <w:t>62</w:t>
      </w:r>
      <w:r w:rsidRPr="008329FE">
        <w:t>(2):153-159.</w:t>
      </w:r>
    </w:p>
    <w:p w:rsidR="00676448" w:rsidRPr="008329FE" w:rsidRDefault="00676448" w:rsidP="005B1D21">
      <w:pPr>
        <w:pStyle w:val="ListParagraph"/>
        <w:numPr>
          <w:ilvl w:val="0"/>
          <w:numId w:val="13"/>
        </w:numPr>
        <w:spacing w:after="60" w:line="480" w:lineRule="auto"/>
        <w:ind w:left="363"/>
        <w:jc w:val="both"/>
      </w:pPr>
      <w:proofErr w:type="spellStart"/>
      <w:r w:rsidRPr="008329FE">
        <w:lastRenderedPageBreak/>
        <w:t>Duché</w:t>
      </w:r>
      <w:proofErr w:type="spellEnd"/>
      <w:r w:rsidRPr="008329FE">
        <w:t xml:space="preserve"> L, </w:t>
      </w:r>
      <w:proofErr w:type="spellStart"/>
      <w:r w:rsidRPr="008329FE">
        <w:t>Ringa</w:t>
      </w:r>
      <w:proofErr w:type="spellEnd"/>
      <w:r w:rsidRPr="008329FE">
        <w:t xml:space="preserve"> V, Melchior M et al.  Hot flushes, common symptoms, and social relations among middle-aged </w:t>
      </w:r>
      <w:proofErr w:type="spellStart"/>
      <w:r w:rsidRPr="008329FE">
        <w:t>nonmenopausal</w:t>
      </w:r>
      <w:proofErr w:type="spellEnd"/>
      <w:r w:rsidRPr="008329FE">
        <w:t xml:space="preserve"> French women in the GAZEL cohort. </w:t>
      </w:r>
      <w:r w:rsidRPr="008329FE">
        <w:rPr>
          <w:i/>
          <w:iCs/>
        </w:rPr>
        <w:t>Menopause</w:t>
      </w:r>
      <w:r w:rsidRPr="008329FE">
        <w:t xml:space="preserve"> 2006;</w:t>
      </w:r>
      <w:r w:rsidRPr="008329FE">
        <w:rPr>
          <w:i/>
          <w:iCs/>
        </w:rPr>
        <w:t xml:space="preserve"> </w:t>
      </w:r>
      <w:r w:rsidRPr="008329FE">
        <w:rPr>
          <w:b/>
          <w:bCs/>
        </w:rPr>
        <w:t>13</w:t>
      </w:r>
      <w:r w:rsidRPr="008329FE">
        <w:t>(4):592-599.</w:t>
      </w:r>
    </w:p>
    <w:p w:rsidR="00676448" w:rsidRPr="008329FE" w:rsidRDefault="00676448" w:rsidP="005B1D21">
      <w:pPr>
        <w:pStyle w:val="ListParagraph"/>
        <w:numPr>
          <w:ilvl w:val="0"/>
          <w:numId w:val="13"/>
        </w:numPr>
        <w:spacing w:after="60" w:line="480" w:lineRule="auto"/>
        <w:ind w:left="363"/>
        <w:jc w:val="both"/>
      </w:pPr>
      <w:proofErr w:type="spellStart"/>
      <w:r w:rsidRPr="008329FE">
        <w:t>Sievert</w:t>
      </w:r>
      <w:proofErr w:type="spellEnd"/>
      <w:r w:rsidRPr="008329FE">
        <w:t xml:space="preserve"> LL, </w:t>
      </w:r>
      <w:proofErr w:type="spellStart"/>
      <w:r w:rsidRPr="008329FE">
        <w:t>Obermeyer</w:t>
      </w:r>
      <w:proofErr w:type="spellEnd"/>
      <w:r w:rsidRPr="008329FE">
        <w:t xml:space="preserve"> CM, Price K. Determinants of hot flushes and night sweats. </w:t>
      </w:r>
      <w:r w:rsidRPr="008329FE">
        <w:rPr>
          <w:i/>
          <w:iCs/>
        </w:rPr>
        <w:t xml:space="preserve">Ann Hum </w:t>
      </w:r>
      <w:proofErr w:type="spellStart"/>
      <w:r w:rsidRPr="008329FE">
        <w:rPr>
          <w:i/>
          <w:iCs/>
        </w:rPr>
        <w:t>Biol</w:t>
      </w:r>
      <w:proofErr w:type="spellEnd"/>
      <w:r w:rsidRPr="008329FE">
        <w:t xml:space="preserve"> 2006;</w:t>
      </w:r>
      <w:r w:rsidRPr="008329FE">
        <w:rPr>
          <w:i/>
          <w:iCs/>
        </w:rPr>
        <w:t xml:space="preserve"> </w:t>
      </w:r>
      <w:r w:rsidRPr="008329FE">
        <w:rPr>
          <w:b/>
          <w:bCs/>
        </w:rPr>
        <w:t>33</w:t>
      </w:r>
      <w:r w:rsidRPr="008329FE">
        <w:t>(1):4-16.</w:t>
      </w:r>
    </w:p>
    <w:p w:rsidR="00676448" w:rsidRPr="008329FE" w:rsidRDefault="00676448" w:rsidP="005B1D21">
      <w:pPr>
        <w:pStyle w:val="ListParagraph"/>
        <w:numPr>
          <w:ilvl w:val="0"/>
          <w:numId w:val="13"/>
        </w:numPr>
        <w:spacing w:after="60" w:line="480" w:lineRule="auto"/>
        <w:ind w:left="363"/>
        <w:jc w:val="both"/>
      </w:pPr>
      <w:r w:rsidRPr="008329FE">
        <w:t xml:space="preserve">Schilling C, </w:t>
      </w:r>
      <w:proofErr w:type="spellStart"/>
      <w:r w:rsidRPr="008329FE">
        <w:t>Gallicchio</w:t>
      </w:r>
      <w:proofErr w:type="spellEnd"/>
      <w:r w:rsidRPr="008329FE">
        <w:t xml:space="preserve"> L, Miller SR</w:t>
      </w:r>
      <w:r w:rsidR="00492F3F" w:rsidRPr="008329FE">
        <w:t xml:space="preserve"> </w:t>
      </w:r>
      <w:r w:rsidRPr="008329FE">
        <w:t xml:space="preserve">et al. Current alcohol use is associated with a reduced risk of hot flashes in midlife women. </w:t>
      </w:r>
      <w:proofErr w:type="gramStart"/>
      <w:r w:rsidRPr="008329FE">
        <w:rPr>
          <w:i/>
          <w:iCs/>
        </w:rPr>
        <w:t>Alcohol  Alcoholism</w:t>
      </w:r>
      <w:proofErr w:type="gramEnd"/>
      <w:r w:rsidRPr="008329FE">
        <w:t xml:space="preserve"> 2005;</w:t>
      </w:r>
      <w:r w:rsidRPr="008329FE">
        <w:rPr>
          <w:i/>
          <w:iCs/>
        </w:rPr>
        <w:t xml:space="preserve"> </w:t>
      </w:r>
      <w:r w:rsidRPr="008329FE">
        <w:rPr>
          <w:b/>
          <w:bCs/>
        </w:rPr>
        <w:t>40</w:t>
      </w:r>
      <w:r w:rsidRPr="008329FE">
        <w:t>(6):563-568.</w:t>
      </w:r>
    </w:p>
    <w:p w:rsidR="00676448" w:rsidRPr="008329FE" w:rsidRDefault="00676448" w:rsidP="005B1D21">
      <w:pPr>
        <w:pStyle w:val="ListParagraph"/>
        <w:numPr>
          <w:ilvl w:val="0"/>
          <w:numId w:val="13"/>
        </w:numPr>
        <w:spacing w:after="60" w:line="480" w:lineRule="auto"/>
        <w:ind w:left="363"/>
        <w:jc w:val="both"/>
      </w:pPr>
      <w:r w:rsidRPr="008329FE">
        <w:t xml:space="preserve">Gold EB, Block G, Crawford S et al. Lifestyle and demographic factors in relation to vasomotor symptoms: baseline results from the Study of Women’s Health </w:t>
      </w:r>
      <w:proofErr w:type="gramStart"/>
      <w:r w:rsidRPr="008329FE">
        <w:t>Across</w:t>
      </w:r>
      <w:proofErr w:type="gramEnd"/>
      <w:r w:rsidRPr="008329FE">
        <w:t xml:space="preserve"> the Nation (SWAN). </w:t>
      </w:r>
      <w:r w:rsidRPr="008329FE">
        <w:rPr>
          <w:i/>
          <w:iCs/>
        </w:rPr>
        <w:t xml:space="preserve">Am J </w:t>
      </w:r>
      <w:proofErr w:type="spellStart"/>
      <w:r w:rsidRPr="008329FE">
        <w:rPr>
          <w:i/>
          <w:iCs/>
        </w:rPr>
        <w:t>Epidemiol</w:t>
      </w:r>
      <w:proofErr w:type="spellEnd"/>
      <w:r w:rsidRPr="008329FE">
        <w:t xml:space="preserve"> 2004; </w:t>
      </w:r>
      <w:r w:rsidRPr="008329FE">
        <w:rPr>
          <w:b/>
          <w:bCs/>
        </w:rPr>
        <w:t>159</w:t>
      </w:r>
      <w:r w:rsidRPr="008329FE">
        <w:t>(12):1189-1199.</w:t>
      </w:r>
    </w:p>
    <w:p w:rsidR="00676448" w:rsidRPr="008329FE" w:rsidRDefault="00676448" w:rsidP="005B1D21">
      <w:pPr>
        <w:pStyle w:val="NormalWeb"/>
        <w:numPr>
          <w:ilvl w:val="0"/>
          <w:numId w:val="13"/>
        </w:numPr>
        <w:spacing w:before="0" w:beforeAutospacing="0" w:after="60" w:afterAutospacing="0" w:line="480" w:lineRule="auto"/>
        <w:ind w:left="363"/>
        <w:jc w:val="both"/>
      </w:pPr>
      <w:proofErr w:type="spellStart"/>
      <w:r w:rsidRPr="008329FE">
        <w:t>Gallicchio</w:t>
      </w:r>
      <w:proofErr w:type="spellEnd"/>
      <w:r w:rsidRPr="008329FE">
        <w:t xml:space="preserve"> L, Schilling C, Romani WA et al. Endogenous hormones, participant characteristics, and symptoms among midlife women. </w:t>
      </w:r>
      <w:proofErr w:type="spellStart"/>
      <w:r w:rsidRPr="008329FE">
        <w:rPr>
          <w:i/>
          <w:iCs/>
        </w:rPr>
        <w:t>Maturitas</w:t>
      </w:r>
      <w:proofErr w:type="spellEnd"/>
      <w:r w:rsidRPr="008329FE">
        <w:rPr>
          <w:i/>
          <w:iCs/>
        </w:rPr>
        <w:t xml:space="preserve"> </w:t>
      </w:r>
      <w:r w:rsidRPr="008329FE">
        <w:t xml:space="preserve">2008; </w:t>
      </w:r>
      <w:r w:rsidRPr="008329FE">
        <w:rPr>
          <w:b/>
          <w:bCs/>
        </w:rPr>
        <w:t>59</w:t>
      </w:r>
      <w:r w:rsidRPr="008329FE">
        <w:t>(2):114-127.</w:t>
      </w:r>
    </w:p>
    <w:p w:rsidR="00676448" w:rsidRPr="008329FE" w:rsidRDefault="00676448" w:rsidP="005B1D21">
      <w:pPr>
        <w:pStyle w:val="ListParagraph"/>
        <w:numPr>
          <w:ilvl w:val="0"/>
          <w:numId w:val="13"/>
        </w:numPr>
        <w:spacing w:after="60" w:line="480" w:lineRule="auto"/>
        <w:ind w:left="363"/>
        <w:jc w:val="both"/>
      </w:pPr>
      <w:r w:rsidRPr="008329FE">
        <w:t xml:space="preserve">Avis NE, </w:t>
      </w:r>
      <w:proofErr w:type="spellStart"/>
      <w:r w:rsidRPr="008329FE">
        <w:t>McKinlay</w:t>
      </w:r>
      <w:proofErr w:type="spellEnd"/>
      <w:r w:rsidRPr="008329FE">
        <w:t xml:space="preserve"> SM. A longitudinal analysis of women’s attitudes towards the menopause: results from the Massachusetts women’s health study. </w:t>
      </w:r>
      <w:proofErr w:type="spellStart"/>
      <w:r w:rsidRPr="008329FE">
        <w:rPr>
          <w:i/>
          <w:iCs/>
        </w:rPr>
        <w:t>Maturitas</w:t>
      </w:r>
      <w:proofErr w:type="spellEnd"/>
      <w:r w:rsidRPr="008329FE">
        <w:t xml:space="preserve"> 1991; </w:t>
      </w:r>
      <w:r w:rsidRPr="008329FE">
        <w:rPr>
          <w:b/>
          <w:bCs/>
        </w:rPr>
        <w:t>13</w:t>
      </w:r>
      <w:r w:rsidRPr="008329FE">
        <w:t>(1):65-79.</w:t>
      </w:r>
    </w:p>
    <w:p w:rsidR="00676448" w:rsidRPr="008329FE" w:rsidRDefault="00676448" w:rsidP="005B1D21">
      <w:pPr>
        <w:pStyle w:val="ListParagraph"/>
        <w:numPr>
          <w:ilvl w:val="0"/>
          <w:numId w:val="13"/>
        </w:numPr>
        <w:spacing w:after="60" w:line="480" w:lineRule="auto"/>
        <w:ind w:left="363"/>
        <w:jc w:val="both"/>
      </w:pPr>
      <w:proofErr w:type="spellStart"/>
      <w:r w:rsidRPr="008329FE">
        <w:t>Sievert</w:t>
      </w:r>
      <w:proofErr w:type="spellEnd"/>
      <w:r w:rsidRPr="008329FE">
        <w:t xml:space="preserve"> LL, Espinosa-Hernandez G. Attitudes toward menopause in relation to symptom experience in Puebla, Mexico </w:t>
      </w:r>
      <w:r w:rsidRPr="008329FE">
        <w:rPr>
          <w:i/>
          <w:iCs/>
        </w:rPr>
        <w:t>Women Health</w:t>
      </w:r>
      <w:r w:rsidRPr="008329FE">
        <w:t xml:space="preserve"> 2003;</w:t>
      </w:r>
      <w:r w:rsidRPr="008329FE">
        <w:rPr>
          <w:b/>
          <w:bCs/>
        </w:rPr>
        <w:t>38</w:t>
      </w:r>
      <w:r w:rsidRPr="008329FE">
        <w:t>(2):93-106.</w:t>
      </w:r>
    </w:p>
    <w:p w:rsidR="00676448" w:rsidRPr="008329FE" w:rsidRDefault="00676448" w:rsidP="005B1D21">
      <w:pPr>
        <w:pStyle w:val="BodyTextFirstIndent2"/>
        <w:numPr>
          <w:ilvl w:val="0"/>
          <w:numId w:val="13"/>
        </w:numPr>
        <w:spacing w:after="60" w:line="480" w:lineRule="auto"/>
        <w:ind w:left="363"/>
        <w:jc w:val="both"/>
      </w:pPr>
      <w:r w:rsidRPr="008329FE">
        <w:t xml:space="preserve">Reynolds F. Perceived control over menopausal hot flushes; exploring the correlates of a standardised measure. </w:t>
      </w:r>
      <w:proofErr w:type="spellStart"/>
      <w:r w:rsidRPr="008329FE">
        <w:rPr>
          <w:i/>
          <w:iCs/>
        </w:rPr>
        <w:t>Maturitas</w:t>
      </w:r>
      <w:proofErr w:type="spellEnd"/>
      <w:r w:rsidRPr="008329FE">
        <w:t xml:space="preserve"> 1997;</w:t>
      </w:r>
      <w:r w:rsidRPr="008329FE">
        <w:rPr>
          <w:i/>
          <w:iCs/>
        </w:rPr>
        <w:t xml:space="preserve"> </w:t>
      </w:r>
      <w:r w:rsidRPr="008329FE">
        <w:rPr>
          <w:b/>
          <w:bCs/>
        </w:rPr>
        <w:t>27</w:t>
      </w:r>
      <w:r w:rsidRPr="008329FE">
        <w:t>(3):251-221.</w:t>
      </w:r>
    </w:p>
    <w:p w:rsidR="00676448" w:rsidRPr="008329FE" w:rsidRDefault="00676448" w:rsidP="005B1D21">
      <w:pPr>
        <w:pStyle w:val="NormalWeb"/>
        <w:numPr>
          <w:ilvl w:val="0"/>
          <w:numId w:val="13"/>
        </w:numPr>
        <w:spacing w:before="0" w:beforeAutospacing="0" w:after="60" w:afterAutospacing="0" w:line="480" w:lineRule="auto"/>
        <w:ind w:left="363"/>
        <w:jc w:val="both"/>
      </w:pPr>
      <w:proofErr w:type="spellStart"/>
      <w:r w:rsidRPr="008329FE">
        <w:t>Chedraui</w:t>
      </w:r>
      <w:proofErr w:type="spellEnd"/>
      <w:r w:rsidRPr="008329FE">
        <w:t xml:space="preserve"> P, </w:t>
      </w:r>
      <w:proofErr w:type="spellStart"/>
      <w:r w:rsidRPr="008329FE">
        <w:t>Pérez-López</w:t>
      </w:r>
      <w:proofErr w:type="spellEnd"/>
      <w:r w:rsidRPr="008329FE">
        <w:t xml:space="preserve"> FR, Aguirre W et al. Beliefs regarding menopausal hot flushes among climacteric women as assessed with the Hot Flush Beliefs Scale. </w:t>
      </w:r>
      <w:proofErr w:type="spellStart"/>
      <w:r w:rsidRPr="008329FE">
        <w:rPr>
          <w:i/>
          <w:iCs/>
        </w:rPr>
        <w:t>Maturitas</w:t>
      </w:r>
      <w:proofErr w:type="spellEnd"/>
      <w:r w:rsidRPr="008329FE">
        <w:t xml:space="preserve"> 2010;</w:t>
      </w:r>
      <w:r w:rsidRPr="008329FE">
        <w:rPr>
          <w:i/>
          <w:iCs/>
        </w:rPr>
        <w:t xml:space="preserve"> </w:t>
      </w:r>
      <w:r w:rsidRPr="008329FE">
        <w:rPr>
          <w:b/>
          <w:bCs/>
        </w:rPr>
        <w:t>66</w:t>
      </w:r>
      <w:r w:rsidRPr="008329FE">
        <w:t xml:space="preserve">(3):298-304. </w:t>
      </w:r>
    </w:p>
    <w:p w:rsidR="00676448" w:rsidRPr="008329FE" w:rsidRDefault="00676448" w:rsidP="005B1D21">
      <w:pPr>
        <w:pStyle w:val="ListParagraph"/>
        <w:numPr>
          <w:ilvl w:val="0"/>
          <w:numId w:val="13"/>
        </w:numPr>
        <w:spacing w:after="60" w:line="480" w:lineRule="auto"/>
        <w:ind w:left="363"/>
        <w:jc w:val="both"/>
      </w:pPr>
      <w:proofErr w:type="spellStart"/>
      <w:r w:rsidRPr="008329FE">
        <w:t>Kronenberg</w:t>
      </w:r>
      <w:proofErr w:type="spellEnd"/>
      <w:r w:rsidRPr="008329FE">
        <w:t xml:space="preserve"> F. Hot flashes: epidemiology and physiology. </w:t>
      </w:r>
      <w:r w:rsidRPr="008329FE">
        <w:rPr>
          <w:i/>
          <w:iCs/>
        </w:rPr>
        <w:t xml:space="preserve">Ann NY </w:t>
      </w:r>
      <w:proofErr w:type="spellStart"/>
      <w:r w:rsidRPr="008329FE">
        <w:rPr>
          <w:i/>
          <w:iCs/>
        </w:rPr>
        <w:t>Acad</w:t>
      </w:r>
      <w:proofErr w:type="spellEnd"/>
      <w:r w:rsidRPr="008329FE">
        <w:rPr>
          <w:i/>
          <w:iCs/>
        </w:rPr>
        <w:t xml:space="preserve"> </w:t>
      </w:r>
      <w:proofErr w:type="spellStart"/>
      <w:r w:rsidRPr="008329FE">
        <w:rPr>
          <w:i/>
          <w:iCs/>
        </w:rPr>
        <w:t>Sci</w:t>
      </w:r>
      <w:proofErr w:type="spellEnd"/>
      <w:r w:rsidRPr="008329FE">
        <w:rPr>
          <w:i/>
          <w:iCs/>
        </w:rPr>
        <w:t xml:space="preserve"> </w:t>
      </w:r>
      <w:r w:rsidRPr="008329FE">
        <w:t>1990;</w:t>
      </w:r>
      <w:r w:rsidRPr="008329FE">
        <w:rPr>
          <w:i/>
          <w:iCs/>
        </w:rPr>
        <w:t xml:space="preserve"> </w:t>
      </w:r>
      <w:r w:rsidRPr="008329FE">
        <w:rPr>
          <w:b/>
          <w:bCs/>
        </w:rPr>
        <w:t>592</w:t>
      </w:r>
      <w:r w:rsidRPr="008329FE">
        <w:t>(1):52-86.</w:t>
      </w:r>
    </w:p>
    <w:p w:rsidR="00676448" w:rsidRPr="008329FE" w:rsidRDefault="00676448" w:rsidP="005B1D21">
      <w:pPr>
        <w:pStyle w:val="ListParagraph"/>
        <w:numPr>
          <w:ilvl w:val="0"/>
          <w:numId w:val="13"/>
        </w:numPr>
        <w:spacing w:after="60" w:line="480" w:lineRule="auto"/>
        <w:ind w:left="363"/>
        <w:jc w:val="both"/>
      </w:pPr>
      <w:r w:rsidRPr="008329FE">
        <w:lastRenderedPageBreak/>
        <w:t xml:space="preserve">Pinkerton JV, Zion AS. Vasomotor symptoms in menopause: where we’ve been and where were going. </w:t>
      </w:r>
      <w:r w:rsidRPr="008329FE">
        <w:rPr>
          <w:i/>
          <w:iCs/>
        </w:rPr>
        <w:t xml:space="preserve">J Women’s Health </w:t>
      </w:r>
      <w:r w:rsidRPr="008329FE">
        <w:t>2006;</w:t>
      </w:r>
      <w:r w:rsidRPr="008329FE">
        <w:rPr>
          <w:i/>
          <w:iCs/>
        </w:rPr>
        <w:t xml:space="preserve"> </w:t>
      </w:r>
      <w:r w:rsidRPr="008329FE">
        <w:rPr>
          <w:b/>
          <w:bCs/>
        </w:rPr>
        <w:t>15</w:t>
      </w:r>
      <w:r w:rsidRPr="008329FE">
        <w:t>(2):135-145.</w:t>
      </w:r>
    </w:p>
    <w:p w:rsidR="00676448" w:rsidRPr="008329FE" w:rsidRDefault="00676448" w:rsidP="005B1D21">
      <w:pPr>
        <w:pStyle w:val="ListParagraph"/>
        <w:numPr>
          <w:ilvl w:val="0"/>
          <w:numId w:val="13"/>
        </w:numPr>
        <w:spacing w:after="60" w:line="480" w:lineRule="auto"/>
        <w:ind w:left="363"/>
        <w:jc w:val="both"/>
      </w:pPr>
      <w:r w:rsidRPr="008329FE">
        <w:t xml:space="preserve">North American Menopause Society. Treatment of menopause-associated vasomotor symptoms: Position statement of the North American Menopause Society. </w:t>
      </w:r>
      <w:r w:rsidRPr="008329FE">
        <w:rPr>
          <w:i/>
          <w:iCs/>
        </w:rPr>
        <w:t>Menopause</w:t>
      </w:r>
      <w:r w:rsidRPr="008329FE">
        <w:t xml:space="preserve"> 2004; </w:t>
      </w:r>
      <w:r w:rsidRPr="008329FE">
        <w:rPr>
          <w:b/>
          <w:bCs/>
        </w:rPr>
        <w:t>11</w:t>
      </w:r>
      <w:r w:rsidRPr="008329FE">
        <w:t>(1):11-33.</w:t>
      </w:r>
    </w:p>
    <w:p w:rsidR="00676448" w:rsidRPr="008329FE" w:rsidRDefault="00676448" w:rsidP="005B1D21">
      <w:pPr>
        <w:pStyle w:val="ListParagraph"/>
        <w:numPr>
          <w:ilvl w:val="0"/>
          <w:numId w:val="13"/>
        </w:numPr>
        <w:spacing w:after="60" w:line="480" w:lineRule="auto"/>
        <w:ind w:left="363"/>
        <w:jc w:val="both"/>
      </w:pPr>
      <w:r w:rsidRPr="008329FE">
        <w:t xml:space="preserve">Appling S, </w:t>
      </w:r>
      <w:proofErr w:type="spellStart"/>
      <w:r w:rsidRPr="008329FE">
        <w:t>Paez</w:t>
      </w:r>
      <w:proofErr w:type="spellEnd"/>
      <w:r w:rsidRPr="008329FE">
        <w:t xml:space="preserve"> K, Allen J. Ethnicity and vasomotor symptoms in postmenopausal women. </w:t>
      </w:r>
      <w:r w:rsidRPr="008329FE">
        <w:rPr>
          <w:i/>
          <w:iCs/>
        </w:rPr>
        <w:t>J Women’s Health</w:t>
      </w:r>
      <w:r w:rsidRPr="008329FE">
        <w:t xml:space="preserve"> 2007;</w:t>
      </w:r>
      <w:r w:rsidRPr="008329FE">
        <w:rPr>
          <w:i/>
          <w:iCs/>
        </w:rPr>
        <w:t xml:space="preserve"> </w:t>
      </w:r>
      <w:r w:rsidRPr="008329FE">
        <w:rPr>
          <w:b/>
          <w:bCs/>
        </w:rPr>
        <w:t>16</w:t>
      </w:r>
      <w:r w:rsidRPr="008329FE">
        <w:t>(8):1130-1138.</w:t>
      </w:r>
    </w:p>
    <w:p w:rsidR="00676448" w:rsidRPr="008329FE" w:rsidRDefault="00676448" w:rsidP="005B1D21">
      <w:pPr>
        <w:pStyle w:val="ListParagraph"/>
        <w:numPr>
          <w:ilvl w:val="0"/>
          <w:numId w:val="13"/>
        </w:numPr>
        <w:spacing w:after="60" w:line="480" w:lineRule="auto"/>
        <w:ind w:left="363"/>
        <w:jc w:val="both"/>
      </w:pPr>
      <w:r w:rsidRPr="008329FE">
        <w:t xml:space="preserve">Crawford SL, Avis NE, Gold E et al. Sensitivity and specificity of recalled vasomotor symptoms in a multiethnic cohort. </w:t>
      </w:r>
      <w:r w:rsidRPr="008329FE">
        <w:rPr>
          <w:i/>
          <w:iCs/>
        </w:rPr>
        <w:t xml:space="preserve">Am J </w:t>
      </w:r>
      <w:proofErr w:type="spellStart"/>
      <w:r w:rsidRPr="008329FE">
        <w:rPr>
          <w:i/>
          <w:iCs/>
        </w:rPr>
        <w:t>Epidemiol</w:t>
      </w:r>
      <w:proofErr w:type="spellEnd"/>
      <w:r w:rsidRPr="008329FE">
        <w:rPr>
          <w:i/>
          <w:iCs/>
        </w:rPr>
        <w:t xml:space="preserve"> </w:t>
      </w:r>
      <w:r w:rsidRPr="008329FE">
        <w:t xml:space="preserve">2008; </w:t>
      </w:r>
      <w:r w:rsidRPr="008329FE">
        <w:rPr>
          <w:b/>
          <w:bCs/>
        </w:rPr>
        <w:t>168</w:t>
      </w:r>
      <w:r w:rsidRPr="008329FE">
        <w:t>(12):1452-1459.</w:t>
      </w:r>
    </w:p>
    <w:p w:rsidR="00676448" w:rsidRPr="008329FE" w:rsidRDefault="00676448" w:rsidP="005B1D21">
      <w:pPr>
        <w:pStyle w:val="ListParagraph"/>
        <w:numPr>
          <w:ilvl w:val="0"/>
          <w:numId w:val="13"/>
        </w:numPr>
        <w:spacing w:after="60" w:line="480" w:lineRule="auto"/>
        <w:ind w:left="363"/>
        <w:jc w:val="both"/>
      </w:pPr>
      <w:proofErr w:type="spellStart"/>
      <w:r w:rsidRPr="008329FE">
        <w:t>Politi</w:t>
      </w:r>
      <w:proofErr w:type="spellEnd"/>
      <w:r w:rsidRPr="008329FE">
        <w:t xml:space="preserve"> MC, </w:t>
      </w:r>
      <w:proofErr w:type="spellStart"/>
      <w:r w:rsidRPr="008329FE">
        <w:t>Schleinitz</w:t>
      </w:r>
      <w:proofErr w:type="spellEnd"/>
      <w:r w:rsidRPr="008329FE">
        <w:t xml:space="preserve"> MD, Col NF. Revisiting the duration of vasomotor symptoms of menopause: A meta-analysis. </w:t>
      </w:r>
      <w:r w:rsidRPr="008329FE">
        <w:rPr>
          <w:i/>
          <w:iCs/>
        </w:rPr>
        <w:t>J  Intern Med</w:t>
      </w:r>
      <w:r w:rsidRPr="008329FE">
        <w:t xml:space="preserve"> 2008;</w:t>
      </w:r>
      <w:r w:rsidRPr="008329FE">
        <w:rPr>
          <w:i/>
          <w:iCs/>
        </w:rPr>
        <w:t xml:space="preserve"> </w:t>
      </w:r>
      <w:r w:rsidRPr="008329FE">
        <w:rPr>
          <w:b/>
          <w:bCs/>
        </w:rPr>
        <w:t>23</w:t>
      </w:r>
      <w:r w:rsidRPr="008329FE">
        <w:t>(9):1507-1513.</w:t>
      </w:r>
    </w:p>
    <w:p w:rsidR="00676448" w:rsidRPr="008329FE" w:rsidRDefault="00676448" w:rsidP="005B1D21">
      <w:pPr>
        <w:pStyle w:val="ListParagraph"/>
        <w:numPr>
          <w:ilvl w:val="0"/>
          <w:numId w:val="13"/>
        </w:numPr>
        <w:spacing w:after="60" w:line="480" w:lineRule="auto"/>
        <w:ind w:left="363"/>
        <w:jc w:val="both"/>
      </w:pPr>
      <w:r w:rsidRPr="008329FE">
        <w:t xml:space="preserve">Williams RE, </w:t>
      </w:r>
      <w:proofErr w:type="spellStart"/>
      <w:r w:rsidRPr="008329FE">
        <w:t>Kalilani</w:t>
      </w:r>
      <w:proofErr w:type="spellEnd"/>
      <w:r w:rsidRPr="008329FE">
        <w:t xml:space="preserve"> L, </w:t>
      </w:r>
      <w:proofErr w:type="spellStart"/>
      <w:r w:rsidRPr="008329FE">
        <w:t>DiBenedetti</w:t>
      </w:r>
      <w:proofErr w:type="spellEnd"/>
      <w:r w:rsidRPr="008329FE">
        <w:t xml:space="preserve"> D et al. Frequency and severity of vasomotor symptoms among </w:t>
      </w:r>
      <w:proofErr w:type="spellStart"/>
      <w:r w:rsidRPr="008329FE">
        <w:t>peri</w:t>
      </w:r>
      <w:proofErr w:type="spellEnd"/>
      <w:r w:rsidRPr="008329FE">
        <w:t xml:space="preserve">- and postmenopausal women in the United States. </w:t>
      </w:r>
      <w:r w:rsidRPr="008329FE">
        <w:rPr>
          <w:i/>
          <w:iCs/>
        </w:rPr>
        <w:t>Climacteric</w:t>
      </w:r>
      <w:r w:rsidRPr="008329FE">
        <w:t xml:space="preserve"> 2008; </w:t>
      </w:r>
      <w:r w:rsidRPr="008329FE">
        <w:rPr>
          <w:b/>
          <w:bCs/>
        </w:rPr>
        <w:t>11</w:t>
      </w:r>
      <w:r w:rsidRPr="008329FE">
        <w:t>(1):32-43.</w:t>
      </w:r>
    </w:p>
    <w:p w:rsidR="00676448" w:rsidRPr="008329FE" w:rsidRDefault="00676448" w:rsidP="005B1D21">
      <w:pPr>
        <w:pStyle w:val="ListParagraph"/>
        <w:numPr>
          <w:ilvl w:val="0"/>
          <w:numId w:val="13"/>
        </w:numPr>
        <w:spacing w:after="60" w:line="480" w:lineRule="auto"/>
        <w:ind w:left="363"/>
        <w:jc w:val="both"/>
      </w:pPr>
      <w:r w:rsidRPr="008329FE">
        <w:t xml:space="preserve">Bruce D, </w:t>
      </w:r>
      <w:proofErr w:type="spellStart"/>
      <w:r w:rsidRPr="008329FE">
        <w:t>Rymer</w:t>
      </w:r>
      <w:proofErr w:type="spellEnd"/>
      <w:r w:rsidRPr="008329FE">
        <w:t xml:space="preserve"> J. Symptoms of the menopause. </w:t>
      </w:r>
      <w:r w:rsidRPr="008329FE">
        <w:rPr>
          <w:i/>
          <w:iCs/>
        </w:rPr>
        <w:t xml:space="preserve">Best </w:t>
      </w:r>
      <w:proofErr w:type="spellStart"/>
      <w:r w:rsidRPr="008329FE">
        <w:rPr>
          <w:i/>
          <w:iCs/>
        </w:rPr>
        <w:t>Pract</w:t>
      </w:r>
      <w:proofErr w:type="spellEnd"/>
      <w:r w:rsidRPr="008329FE">
        <w:rPr>
          <w:i/>
          <w:iCs/>
        </w:rPr>
        <w:t xml:space="preserve"> Res </w:t>
      </w:r>
      <w:proofErr w:type="spellStart"/>
      <w:r w:rsidRPr="008329FE">
        <w:rPr>
          <w:i/>
          <w:iCs/>
        </w:rPr>
        <w:t>Cl</w:t>
      </w:r>
      <w:proofErr w:type="spellEnd"/>
      <w:r w:rsidRPr="008329FE">
        <w:rPr>
          <w:i/>
          <w:iCs/>
        </w:rPr>
        <w:t xml:space="preserve"> Ob </w:t>
      </w:r>
      <w:r w:rsidRPr="008329FE">
        <w:t>2009;</w:t>
      </w:r>
      <w:r w:rsidRPr="008329FE">
        <w:rPr>
          <w:i/>
          <w:iCs/>
        </w:rPr>
        <w:t xml:space="preserve"> </w:t>
      </w:r>
      <w:r w:rsidRPr="008329FE">
        <w:rPr>
          <w:b/>
          <w:bCs/>
        </w:rPr>
        <w:t>23</w:t>
      </w:r>
      <w:r w:rsidRPr="008329FE">
        <w:t>(1):25-32.</w:t>
      </w:r>
    </w:p>
    <w:p w:rsidR="00676448" w:rsidRPr="008329FE" w:rsidRDefault="00676448" w:rsidP="005B1D21">
      <w:pPr>
        <w:pStyle w:val="ListParagraph"/>
        <w:numPr>
          <w:ilvl w:val="0"/>
          <w:numId w:val="13"/>
        </w:numPr>
        <w:spacing w:after="60" w:line="480" w:lineRule="auto"/>
        <w:ind w:left="363"/>
        <w:jc w:val="both"/>
      </w:pPr>
      <w:r w:rsidRPr="008329FE">
        <w:t xml:space="preserve">Kuh DL, Wadsworth M, Hardy R. Women’s health in midlife: the influence of the menopause, social factors and health in earlier life. </w:t>
      </w:r>
      <w:r w:rsidRPr="008329FE">
        <w:rPr>
          <w:i/>
          <w:iCs/>
        </w:rPr>
        <w:t xml:space="preserve">Brit J </w:t>
      </w:r>
      <w:proofErr w:type="spellStart"/>
      <w:r w:rsidRPr="008329FE">
        <w:rPr>
          <w:i/>
          <w:iCs/>
        </w:rPr>
        <w:t>Obstet</w:t>
      </w:r>
      <w:proofErr w:type="spellEnd"/>
      <w:r w:rsidRPr="008329FE">
        <w:rPr>
          <w:i/>
          <w:iCs/>
        </w:rPr>
        <w:t xml:space="preserve"> </w:t>
      </w:r>
      <w:proofErr w:type="spellStart"/>
      <w:r w:rsidRPr="008329FE">
        <w:rPr>
          <w:i/>
          <w:iCs/>
        </w:rPr>
        <w:t>Gynaec</w:t>
      </w:r>
      <w:proofErr w:type="spellEnd"/>
      <w:r w:rsidRPr="008329FE">
        <w:rPr>
          <w:i/>
          <w:iCs/>
        </w:rPr>
        <w:t xml:space="preserve"> </w:t>
      </w:r>
      <w:r w:rsidRPr="008329FE">
        <w:t>1997;</w:t>
      </w:r>
      <w:r w:rsidRPr="008329FE">
        <w:rPr>
          <w:i/>
          <w:iCs/>
        </w:rPr>
        <w:t xml:space="preserve"> </w:t>
      </w:r>
      <w:r w:rsidRPr="008329FE">
        <w:rPr>
          <w:b/>
          <w:bCs/>
        </w:rPr>
        <w:t>104</w:t>
      </w:r>
      <w:r w:rsidRPr="008329FE">
        <w:t>(8):923-933.</w:t>
      </w:r>
    </w:p>
    <w:p w:rsidR="00676448" w:rsidRPr="008329FE" w:rsidRDefault="00676448" w:rsidP="005B1D21">
      <w:pPr>
        <w:pStyle w:val="ListParagraph"/>
        <w:numPr>
          <w:ilvl w:val="0"/>
          <w:numId w:val="13"/>
        </w:numPr>
        <w:spacing w:after="60" w:line="480" w:lineRule="auto"/>
        <w:ind w:left="363"/>
        <w:jc w:val="both"/>
      </w:pPr>
      <w:r w:rsidRPr="008329FE">
        <w:t xml:space="preserve">Bachmann GA. Vasomotor flushes in menopausal women. </w:t>
      </w:r>
      <w:r w:rsidRPr="008329FE">
        <w:rPr>
          <w:i/>
          <w:iCs/>
        </w:rPr>
        <w:t xml:space="preserve">Am J </w:t>
      </w:r>
      <w:proofErr w:type="spellStart"/>
      <w:r w:rsidRPr="008329FE">
        <w:rPr>
          <w:i/>
          <w:iCs/>
        </w:rPr>
        <w:t>Obstet</w:t>
      </w:r>
      <w:proofErr w:type="spellEnd"/>
      <w:r w:rsidRPr="008329FE">
        <w:rPr>
          <w:i/>
          <w:iCs/>
        </w:rPr>
        <w:t xml:space="preserve"> </w:t>
      </w:r>
      <w:proofErr w:type="spellStart"/>
      <w:r w:rsidRPr="008329FE">
        <w:rPr>
          <w:i/>
          <w:iCs/>
        </w:rPr>
        <w:t>Gynecol</w:t>
      </w:r>
      <w:proofErr w:type="spellEnd"/>
      <w:r w:rsidRPr="008329FE">
        <w:rPr>
          <w:i/>
          <w:iCs/>
        </w:rPr>
        <w:t xml:space="preserve"> </w:t>
      </w:r>
      <w:r w:rsidRPr="008329FE">
        <w:t xml:space="preserve">1999; </w:t>
      </w:r>
      <w:r w:rsidRPr="008329FE">
        <w:rPr>
          <w:b/>
          <w:bCs/>
        </w:rPr>
        <w:t>180</w:t>
      </w:r>
      <w:r w:rsidRPr="008329FE">
        <w:t>(3):S312-316.</w:t>
      </w:r>
    </w:p>
    <w:p w:rsidR="00676448" w:rsidRPr="008329FE" w:rsidRDefault="00676448" w:rsidP="005B1D21">
      <w:pPr>
        <w:pStyle w:val="ListParagraph"/>
        <w:numPr>
          <w:ilvl w:val="0"/>
          <w:numId w:val="13"/>
        </w:numPr>
        <w:spacing w:after="60" w:line="480" w:lineRule="auto"/>
        <w:ind w:left="363"/>
        <w:jc w:val="both"/>
      </w:pPr>
      <w:r w:rsidRPr="008329FE">
        <w:t xml:space="preserve">Thurston RC, </w:t>
      </w:r>
      <w:proofErr w:type="spellStart"/>
      <w:r w:rsidRPr="008329FE">
        <w:t>Bromberger</w:t>
      </w:r>
      <w:proofErr w:type="spellEnd"/>
      <w:r w:rsidRPr="008329FE">
        <w:t xml:space="preserve"> JT, </w:t>
      </w:r>
      <w:proofErr w:type="spellStart"/>
      <w:r w:rsidRPr="008329FE">
        <w:t>Joffe</w:t>
      </w:r>
      <w:proofErr w:type="spellEnd"/>
      <w:r w:rsidRPr="008329FE">
        <w:t xml:space="preserve"> H et al. Beyond frequency: who is most bothered by vasomotor symptoms? </w:t>
      </w:r>
      <w:r w:rsidRPr="008329FE">
        <w:rPr>
          <w:i/>
          <w:iCs/>
        </w:rPr>
        <w:t>Menopause</w:t>
      </w:r>
      <w:r w:rsidRPr="008329FE">
        <w:t xml:space="preserve"> 2008; </w:t>
      </w:r>
      <w:r w:rsidRPr="008329FE">
        <w:rPr>
          <w:b/>
          <w:bCs/>
        </w:rPr>
        <w:t>15</w:t>
      </w:r>
      <w:r w:rsidRPr="008329FE">
        <w:t>(5): 841-847.</w:t>
      </w:r>
    </w:p>
    <w:p w:rsidR="00676448" w:rsidRPr="008329FE" w:rsidRDefault="00676448" w:rsidP="005B1D21">
      <w:pPr>
        <w:numPr>
          <w:ilvl w:val="0"/>
          <w:numId w:val="13"/>
        </w:numPr>
        <w:spacing w:before="120" w:line="480" w:lineRule="auto"/>
        <w:ind w:left="357" w:hanging="357"/>
        <w:jc w:val="both"/>
      </w:pPr>
      <w:r w:rsidRPr="008329FE">
        <w:lastRenderedPageBreak/>
        <w:t xml:space="preserve">Scottish Executive. </w:t>
      </w:r>
      <w:r w:rsidRPr="008329FE">
        <w:rPr>
          <w:i/>
          <w:iCs/>
        </w:rPr>
        <w:t xml:space="preserve">Scottish Index of Multiple </w:t>
      </w:r>
      <w:proofErr w:type="gramStart"/>
      <w:r w:rsidRPr="008329FE">
        <w:rPr>
          <w:i/>
          <w:iCs/>
        </w:rPr>
        <w:t>Deprivation</w:t>
      </w:r>
      <w:proofErr w:type="gramEnd"/>
      <w:r w:rsidRPr="008329FE">
        <w:t>. Edinburgh: The Stationery Office, 2003.</w:t>
      </w:r>
    </w:p>
    <w:p w:rsidR="00676448" w:rsidRPr="008329FE" w:rsidRDefault="00676448" w:rsidP="005B1D21">
      <w:pPr>
        <w:numPr>
          <w:ilvl w:val="0"/>
          <w:numId w:val="13"/>
        </w:numPr>
        <w:spacing w:before="120" w:line="480" w:lineRule="auto"/>
        <w:ind w:left="357" w:hanging="357"/>
        <w:jc w:val="both"/>
      </w:pPr>
      <w:r w:rsidRPr="008329FE">
        <w:t xml:space="preserve">Rosenthal SL, </w:t>
      </w:r>
      <w:proofErr w:type="spellStart"/>
      <w:r w:rsidRPr="008329FE">
        <w:t>Zimet</w:t>
      </w:r>
      <w:proofErr w:type="spellEnd"/>
      <w:r w:rsidRPr="008329FE">
        <w:t xml:space="preserve"> GD, </w:t>
      </w:r>
      <w:proofErr w:type="spellStart"/>
      <w:r w:rsidRPr="008329FE">
        <w:t>Leichliter</w:t>
      </w:r>
      <w:proofErr w:type="spellEnd"/>
      <w:r w:rsidRPr="008329FE">
        <w:t xml:space="preserve"> JS et al. The psychosocial impact of serological diagnosis of asymptomatic herpes simplex virus type 2 infection. </w:t>
      </w:r>
      <w:r w:rsidRPr="008329FE">
        <w:rPr>
          <w:i/>
          <w:iCs/>
        </w:rPr>
        <w:t xml:space="preserve">Sex </w:t>
      </w:r>
      <w:proofErr w:type="spellStart"/>
      <w:r w:rsidRPr="008329FE">
        <w:rPr>
          <w:i/>
          <w:iCs/>
        </w:rPr>
        <w:t>Transm</w:t>
      </w:r>
      <w:proofErr w:type="spellEnd"/>
      <w:r w:rsidRPr="008329FE">
        <w:rPr>
          <w:i/>
          <w:iCs/>
        </w:rPr>
        <w:t xml:space="preserve"> Infect</w:t>
      </w:r>
      <w:r w:rsidRPr="008329FE">
        <w:t xml:space="preserve"> 2006;</w:t>
      </w:r>
      <w:r w:rsidRPr="008329FE">
        <w:rPr>
          <w:i/>
          <w:iCs/>
        </w:rPr>
        <w:t xml:space="preserve"> </w:t>
      </w:r>
      <w:r w:rsidRPr="008329FE">
        <w:rPr>
          <w:b/>
          <w:bCs/>
        </w:rPr>
        <w:t>82</w:t>
      </w:r>
      <w:r w:rsidRPr="008329FE">
        <w:t>(2):154-157.</w:t>
      </w:r>
    </w:p>
    <w:p w:rsidR="00676448" w:rsidRPr="008329FE" w:rsidRDefault="00492F3F" w:rsidP="005B1D21">
      <w:pPr>
        <w:numPr>
          <w:ilvl w:val="0"/>
          <w:numId w:val="13"/>
        </w:numPr>
        <w:spacing w:before="120" w:line="480" w:lineRule="auto"/>
        <w:ind w:left="357" w:hanging="357"/>
        <w:jc w:val="both"/>
      </w:pPr>
      <w:r w:rsidRPr="008329FE">
        <w:t>Mc</w:t>
      </w:r>
      <w:r w:rsidR="00676448" w:rsidRPr="008329FE">
        <w:t xml:space="preserve">Dowell I. </w:t>
      </w:r>
      <w:proofErr w:type="gramStart"/>
      <w:r w:rsidR="00676448" w:rsidRPr="008329FE">
        <w:rPr>
          <w:i/>
          <w:iCs/>
        </w:rPr>
        <w:t>Measuring</w:t>
      </w:r>
      <w:proofErr w:type="gramEnd"/>
      <w:r w:rsidR="00676448" w:rsidRPr="008329FE">
        <w:rPr>
          <w:i/>
          <w:iCs/>
        </w:rPr>
        <w:t xml:space="preserve"> health. A Guide to Rating Scales and Questionnaires.</w:t>
      </w:r>
      <w:r w:rsidR="00676448" w:rsidRPr="008329FE">
        <w:t xml:space="preserve"> Third edition. Oxford University Press, 2006.</w:t>
      </w:r>
    </w:p>
    <w:p w:rsidR="00676448" w:rsidRPr="008329FE" w:rsidRDefault="00676448" w:rsidP="005B1D21">
      <w:pPr>
        <w:numPr>
          <w:ilvl w:val="0"/>
          <w:numId w:val="13"/>
        </w:numPr>
        <w:spacing w:before="120" w:line="480" w:lineRule="auto"/>
        <w:ind w:left="357" w:hanging="357"/>
        <w:jc w:val="both"/>
      </w:pPr>
      <w:proofErr w:type="spellStart"/>
      <w:r w:rsidRPr="008329FE">
        <w:t>Zigmond</w:t>
      </w:r>
      <w:proofErr w:type="spellEnd"/>
      <w:r w:rsidRPr="008329FE">
        <w:t xml:space="preserve"> AS, </w:t>
      </w:r>
      <w:proofErr w:type="spellStart"/>
      <w:r w:rsidRPr="008329FE">
        <w:t>Snaith</w:t>
      </w:r>
      <w:proofErr w:type="spellEnd"/>
      <w:r w:rsidRPr="008329FE">
        <w:t xml:space="preserve"> RP. The hospital anxiety and depression scale. </w:t>
      </w:r>
      <w:proofErr w:type="spellStart"/>
      <w:r w:rsidRPr="008329FE">
        <w:rPr>
          <w:i/>
          <w:iCs/>
        </w:rPr>
        <w:t>Acta</w:t>
      </w:r>
      <w:proofErr w:type="spellEnd"/>
      <w:r w:rsidRPr="008329FE">
        <w:rPr>
          <w:i/>
          <w:iCs/>
        </w:rPr>
        <w:t xml:space="preserve"> </w:t>
      </w:r>
      <w:proofErr w:type="spellStart"/>
      <w:r w:rsidRPr="008329FE">
        <w:rPr>
          <w:i/>
          <w:iCs/>
        </w:rPr>
        <w:t>Psychiatr</w:t>
      </w:r>
      <w:proofErr w:type="spellEnd"/>
      <w:r w:rsidRPr="008329FE">
        <w:rPr>
          <w:i/>
          <w:iCs/>
        </w:rPr>
        <w:t xml:space="preserve"> Scand, </w:t>
      </w:r>
      <w:r w:rsidRPr="008329FE">
        <w:t xml:space="preserve">1983; </w:t>
      </w:r>
      <w:r w:rsidRPr="008329FE">
        <w:rPr>
          <w:b/>
          <w:bCs/>
        </w:rPr>
        <w:t>67</w:t>
      </w:r>
      <w:r w:rsidRPr="008329FE">
        <w:t>(6):361-370.</w:t>
      </w:r>
    </w:p>
    <w:p w:rsidR="00676448" w:rsidRPr="008329FE" w:rsidRDefault="00676448" w:rsidP="005B1D21">
      <w:pPr>
        <w:numPr>
          <w:ilvl w:val="0"/>
          <w:numId w:val="13"/>
        </w:numPr>
        <w:spacing w:before="120" w:line="480" w:lineRule="auto"/>
        <w:ind w:left="357" w:hanging="357"/>
        <w:jc w:val="both"/>
      </w:pPr>
      <w:proofErr w:type="spellStart"/>
      <w:r w:rsidRPr="008329FE">
        <w:t>Neugarten</w:t>
      </w:r>
      <w:proofErr w:type="spellEnd"/>
      <w:r w:rsidRPr="008329FE">
        <w:t xml:space="preserve"> BL, Wood V, </w:t>
      </w:r>
      <w:proofErr w:type="spellStart"/>
      <w:r w:rsidRPr="008329FE">
        <w:t>Kraines</w:t>
      </w:r>
      <w:proofErr w:type="spellEnd"/>
      <w:r w:rsidRPr="008329FE">
        <w:t xml:space="preserve"> RJ, Loomis B. Women’s attitudes toward menopause. </w:t>
      </w:r>
      <w:r w:rsidRPr="008329FE">
        <w:rPr>
          <w:i/>
          <w:iCs/>
        </w:rPr>
        <w:t>Vita Humana</w:t>
      </w:r>
      <w:r w:rsidRPr="008329FE">
        <w:t xml:space="preserve"> 1963;</w:t>
      </w:r>
      <w:r w:rsidRPr="008329FE">
        <w:rPr>
          <w:i/>
          <w:iCs/>
        </w:rPr>
        <w:t xml:space="preserve"> </w:t>
      </w:r>
      <w:r w:rsidRPr="008329FE">
        <w:rPr>
          <w:b/>
          <w:bCs/>
        </w:rPr>
        <w:t>6</w:t>
      </w:r>
      <w:r w:rsidRPr="008329FE">
        <w:t>(3):140-151.</w:t>
      </w:r>
    </w:p>
    <w:p w:rsidR="00676448" w:rsidRPr="008329FE" w:rsidRDefault="00676448" w:rsidP="005B1D21">
      <w:pPr>
        <w:numPr>
          <w:ilvl w:val="0"/>
          <w:numId w:val="13"/>
        </w:numPr>
        <w:spacing w:before="120" w:line="480" w:lineRule="auto"/>
        <w:ind w:left="357" w:hanging="357"/>
        <w:jc w:val="both"/>
      </w:pPr>
      <w:r w:rsidRPr="008329FE">
        <w:t xml:space="preserve">Hunter M, Liao KL. A psychological analysis of menopausal hot flushes. </w:t>
      </w:r>
      <w:r w:rsidRPr="008329FE">
        <w:rPr>
          <w:i/>
          <w:iCs/>
        </w:rPr>
        <w:t xml:space="preserve">Br J </w:t>
      </w:r>
      <w:proofErr w:type="spellStart"/>
      <w:r w:rsidRPr="008329FE">
        <w:rPr>
          <w:i/>
          <w:iCs/>
        </w:rPr>
        <w:t>Clin</w:t>
      </w:r>
      <w:proofErr w:type="spellEnd"/>
      <w:r w:rsidRPr="008329FE">
        <w:rPr>
          <w:i/>
          <w:iCs/>
        </w:rPr>
        <w:t xml:space="preserve"> </w:t>
      </w:r>
      <w:proofErr w:type="spellStart"/>
      <w:r w:rsidRPr="008329FE">
        <w:rPr>
          <w:i/>
          <w:iCs/>
        </w:rPr>
        <w:t>Psychol</w:t>
      </w:r>
      <w:proofErr w:type="spellEnd"/>
      <w:r w:rsidRPr="008329FE">
        <w:t xml:space="preserve"> 1995;</w:t>
      </w:r>
      <w:r w:rsidRPr="008329FE">
        <w:rPr>
          <w:i/>
          <w:iCs/>
        </w:rPr>
        <w:t xml:space="preserve"> </w:t>
      </w:r>
      <w:r w:rsidRPr="008329FE">
        <w:rPr>
          <w:b/>
          <w:bCs/>
        </w:rPr>
        <w:t>34</w:t>
      </w:r>
      <w:r w:rsidRPr="008329FE">
        <w:t>(4):589-599.</w:t>
      </w:r>
    </w:p>
    <w:p w:rsidR="00676448" w:rsidRPr="008329FE" w:rsidRDefault="00676448" w:rsidP="005B1D21">
      <w:pPr>
        <w:numPr>
          <w:ilvl w:val="0"/>
          <w:numId w:val="13"/>
        </w:numPr>
        <w:spacing w:before="120" w:line="480" w:lineRule="auto"/>
        <w:ind w:left="357" w:hanging="357"/>
        <w:jc w:val="both"/>
      </w:pPr>
      <w:r w:rsidRPr="008329FE">
        <w:t xml:space="preserve">Moss-Morris R, Weinman J, Petrie KJ, Horne R, Cameron LD, Buick D. The revised illness perception questionnaire (IPQ-R). </w:t>
      </w:r>
      <w:r w:rsidRPr="008329FE">
        <w:rPr>
          <w:i/>
          <w:iCs/>
        </w:rPr>
        <w:t>Psychology &amp; Health</w:t>
      </w:r>
      <w:r w:rsidRPr="008329FE">
        <w:t xml:space="preserve"> 2002;</w:t>
      </w:r>
      <w:r w:rsidRPr="008329FE">
        <w:rPr>
          <w:i/>
          <w:iCs/>
        </w:rPr>
        <w:t xml:space="preserve"> </w:t>
      </w:r>
      <w:r w:rsidRPr="008329FE">
        <w:rPr>
          <w:b/>
          <w:bCs/>
        </w:rPr>
        <w:t>17</w:t>
      </w:r>
      <w:r w:rsidRPr="008329FE">
        <w:t>(1):1-16.</w:t>
      </w:r>
    </w:p>
    <w:p w:rsidR="00676448" w:rsidRPr="008329FE" w:rsidRDefault="00676448" w:rsidP="005B1D21">
      <w:pPr>
        <w:numPr>
          <w:ilvl w:val="0"/>
          <w:numId w:val="13"/>
        </w:numPr>
        <w:spacing w:before="120" w:line="480" w:lineRule="auto"/>
        <w:ind w:left="357" w:hanging="357"/>
        <w:jc w:val="both"/>
      </w:pPr>
      <w:r w:rsidRPr="008329FE">
        <w:t xml:space="preserve">Altman DG, </w:t>
      </w:r>
      <w:proofErr w:type="spellStart"/>
      <w:r w:rsidRPr="008329FE">
        <w:t>Machin</w:t>
      </w:r>
      <w:proofErr w:type="spellEnd"/>
      <w:r w:rsidRPr="008329FE">
        <w:t xml:space="preserve"> D, Bryant TN, Gardner MJ. </w:t>
      </w:r>
      <w:r w:rsidRPr="008329FE">
        <w:rPr>
          <w:i/>
          <w:iCs/>
        </w:rPr>
        <w:t>Statistics with Confidence</w:t>
      </w:r>
      <w:r w:rsidRPr="008329FE">
        <w:t>. 2nd edition. Bristol: BMJ Books, 2000.</w:t>
      </w:r>
    </w:p>
    <w:p w:rsidR="00676448" w:rsidRPr="008329FE" w:rsidRDefault="00676448" w:rsidP="005B1D21">
      <w:pPr>
        <w:pStyle w:val="ListParagraph"/>
        <w:numPr>
          <w:ilvl w:val="0"/>
          <w:numId w:val="13"/>
        </w:numPr>
        <w:spacing w:after="60" w:line="480" w:lineRule="auto"/>
        <w:ind w:left="363"/>
        <w:jc w:val="both"/>
      </w:pPr>
      <w:proofErr w:type="spellStart"/>
      <w:r w:rsidRPr="008329FE">
        <w:t>Soules</w:t>
      </w:r>
      <w:proofErr w:type="spellEnd"/>
      <w:r w:rsidRPr="008329FE">
        <w:t xml:space="preserve"> MR, Sherman S, Parrot E et al. Executive summary: Stages of Reproductive Aging Workshop (STRAW). </w:t>
      </w:r>
      <w:r w:rsidRPr="008329FE">
        <w:rPr>
          <w:i/>
          <w:iCs/>
        </w:rPr>
        <w:t>Climacteric</w:t>
      </w:r>
      <w:r w:rsidRPr="008329FE">
        <w:t xml:space="preserve"> 2001;</w:t>
      </w:r>
      <w:r w:rsidRPr="008329FE">
        <w:rPr>
          <w:i/>
          <w:iCs/>
        </w:rPr>
        <w:t xml:space="preserve"> </w:t>
      </w:r>
      <w:r w:rsidRPr="008329FE">
        <w:rPr>
          <w:b/>
          <w:bCs/>
        </w:rPr>
        <w:t>4</w:t>
      </w:r>
      <w:r w:rsidRPr="008329FE">
        <w:t>(4):267-272.</w:t>
      </w:r>
    </w:p>
    <w:p w:rsidR="00676448" w:rsidRPr="008329FE" w:rsidRDefault="00676448" w:rsidP="005B1D21">
      <w:pPr>
        <w:pStyle w:val="ListParagraph"/>
        <w:numPr>
          <w:ilvl w:val="0"/>
          <w:numId w:val="13"/>
        </w:numPr>
        <w:spacing w:after="60" w:line="480" w:lineRule="auto"/>
        <w:ind w:left="363"/>
        <w:jc w:val="both"/>
      </w:pPr>
      <w:proofErr w:type="spellStart"/>
      <w:r w:rsidRPr="008329FE">
        <w:t>Pallant</w:t>
      </w:r>
      <w:proofErr w:type="spellEnd"/>
      <w:r w:rsidRPr="008329FE">
        <w:t xml:space="preserve"> J. </w:t>
      </w:r>
      <w:r w:rsidRPr="008329FE">
        <w:rPr>
          <w:i/>
          <w:iCs/>
        </w:rPr>
        <w:t>SPSS Survival Manual</w:t>
      </w:r>
      <w:r w:rsidRPr="008329FE">
        <w:t>. Oxford University Press, 2001</w:t>
      </w:r>
    </w:p>
    <w:p w:rsidR="002C7639" w:rsidRPr="008329FE" w:rsidRDefault="002C7639" w:rsidP="005B1D21">
      <w:pPr>
        <w:pStyle w:val="ListParagraph"/>
        <w:numPr>
          <w:ilvl w:val="0"/>
          <w:numId w:val="13"/>
        </w:numPr>
        <w:spacing w:after="60" w:line="480" w:lineRule="auto"/>
        <w:ind w:left="363"/>
        <w:jc w:val="both"/>
      </w:pPr>
      <w:r w:rsidRPr="008329FE">
        <w:t xml:space="preserve">Duffy O, Iversen L, Hannaford PC. The impact and management of symptoms experienced at midlife: a community-based study of women in northeast Scotland. </w:t>
      </w:r>
      <w:r w:rsidRPr="008329FE">
        <w:rPr>
          <w:i/>
        </w:rPr>
        <w:t>BJOG</w:t>
      </w:r>
      <w:r w:rsidRPr="008329FE">
        <w:t xml:space="preserve"> 2012; </w:t>
      </w:r>
      <w:proofErr w:type="spellStart"/>
      <w:r w:rsidRPr="008329FE">
        <w:t>doi</w:t>
      </w:r>
      <w:proofErr w:type="spellEnd"/>
      <w:r w:rsidRPr="008329FE">
        <w:t>: 10.1111/j.1471-0528.2012.03276.x.</w:t>
      </w:r>
    </w:p>
    <w:p w:rsidR="00D533B4" w:rsidRPr="008329FE" w:rsidRDefault="00D533B4" w:rsidP="005B1D21">
      <w:pPr>
        <w:pStyle w:val="ListParagraph"/>
        <w:numPr>
          <w:ilvl w:val="0"/>
          <w:numId w:val="13"/>
        </w:numPr>
        <w:spacing w:after="60" w:line="480" w:lineRule="auto"/>
        <w:ind w:left="363"/>
        <w:jc w:val="both"/>
      </w:pPr>
      <w:proofErr w:type="spellStart"/>
      <w:r w:rsidRPr="008329FE">
        <w:lastRenderedPageBreak/>
        <w:t>Dennerstein</w:t>
      </w:r>
      <w:proofErr w:type="spellEnd"/>
      <w:r w:rsidRPr="008329FE">
        <w:t xml:space="preserve"> L, Dudley EC, Hopper JL, Guthrie JR, Burger HG. A prospective population-based study of menopausal symptoms. </w:t>
      </w:r>
      <w:proofErr w:type="spellStart"/>
      <w:r w:rsidRPr="008329FE">
        <w:rPr>
          <w:i/>
        </w:rPr>
        <w:t>Obstet</w:t>
      </w:r>
      <w:proofErr w:type="spellEnd"/>
      <w:r w:rsidRPr="008329FE">
        <w:rPr>
          <w:i/>
        </w:rPr>
        <w:t xml:space="preserve"> </w:t>
      </w:r>
      <w:proofErr w:type="spellStart"/>
      <w:r w:rsidRPr="008329FE">
        <w:rPr>
          <w:i/>
        </w:rPr>
        <w:t>Gynecol</w:t>
      </w:r>
      <w:proofErr w:type="spellEnd"/>
      <w:r w:rsidRPr="008329FE">
        <w:t xml:space="preserve"> 2000; </w:t>
      </w:r>
      <w:r w:rsidRPr="008329FE">
        <w:rPr>
          <w:b/>
        </w:rPr>
        <w:t>96</w:t>
      </w:r>
      <w:r w:rsidRPr="008329FE">
        <w:t>: 351-358.</w:t>
      </w:r>
    </w:p>
    <w:p w:rsidR="00676448" w:rsidRPr="008329FE" w:rsidRDefault="00676448" w:rsidP="005B1D21">
      <w:pPr>
        <w:pStyle w:val="ListParagraph"/>
        <w:numPr>
          <w:ilvl w:val="0"/>
          <w:numId w:val="13"/>
        </w:numPr>
        <w:spacing w:after="60" w:line="480" w:lineRule="auto"/>
        <w:ind w:left="363"/>
        <w:jc w:val="both"/>
      </w:pPr>
      <w:r w:rsidRPr="008329FE">
        <w:t xml:space="preserve">Woods NF, Mitchell ES. Symptoms during the </w:t>
      </w:r>
      <w:proofErr w:type="spellStart"/>
      <w:r w:rsidRPr="008329FE">
        <w:t>perimenopause</w:t>
      </w:r>
      <w:proofErr w:type="spellEnd"/>
      <w:r w:rsidRPr="008329FE">
        <w:t xml:space="preserve">: prevalence, severity, trajectory, and significance in women’s lives. </w:t>
      </w:r>
      <w:proofErr w:type="gramStart"/>
      <w:r w:rsidRPr="008329FE">
        <w:rPr>
          <w:i/>
          <w:iCs/>
        </w:rPr>
        <w:t>Am</w:t>
      </w:r>
      <w:proofErr w:type="gramEnd"/>
      <w:r w:rsidRPr="008329FE">
        <w:rPr>
          <w:i/>
          <w:iCs/>
        </w:rPr>
        <w:t xml:space="preserve"> J Med </w:t>
      </w:r>
      <w:r w:rsidRPr="008329FE">
        <w:t xml:space="preserve">2005; </w:t>
      </w:r>
      <w:r w:rsidRPr="008329FE">
        <w:rPr>
          <w:b/>
          <w:bCs/>
        </w:rPr>
        <w:t>118</w:t>
      </w:r>
      <w:r w:rsidRPr="008329FE">
        <w:t>(12B):14S-24S.</w:t>
      </w:r>
    </w:p>
    <w:p w:rsidR="00676448" w:rsidRPr="008329FE" w:rsidRDefault="00676448" w:rsidP="005B1D21">
      <w:pPr>
        <w:pStyle w:val="ListParagraph"/>
        <w:numPr>
          <w:ilvl w:val="0"/>
          <w:numId w:val="13"/>
        </w:numPr>
        <w:spacing w:after="60" w:line="480" w:lineRule="auto"/>
        <w:ind w:left="363"/>
        <w:jc w:val="both"/>
      </w:pPr>
      <w:r w:rsidRPr="008329FE">
        <w:t xml:space="preserve">Anderson GS. Human morphology and temperature regulation. </w:t>
      </w:r>
      <w:proofErr w:type="spellStart"/>
      <w:r w:rsidRPr="008329FE">
        <w:rPr>
          <w:i/>
          <w:iCs/>
        </w:rPr>
        <w:t>Int</w:t>
      </w:r>
      <w:proofErr w:type="spellEnd"/>
      <w:r w:rsidRPr="008329FE">
        <w:rPr>
          <w:i/>
          <w:iCs/>
        </w:rPr>
        <w:t xml:space="preserve"> J </w:t>
      </w:r>
      <w:proofErr w:type="spellStart"/>
      <w:r w:rsidRPr="008329FE">
        <w:rPr>
          <w:i/>
          <w:iCs/>
        </w:rPr>
        <w:t>Biometeorol</w:t>
      </w:r>
      <w:proofErr w:type="spellEnd"/>
      <w:r w:rsidRPr="008329FE">
        <w:t xml:space="preserve"> 1999; </w:t>
      </w:r>
      <w:r w:rsidRPr="008329FE">
        <w:rPr>
          <w:b/>
          <w:bCs/>
        </w:rPr>
        <w:t>43</w:t>
      </w:r>
      <w:r w:rsidRPr="008329FE">
        <w:t>(3):99-109.</w:t>
      </w:r>
    </w:p>
    <w:p w:rsidR="00676448" w:rsidRPr="008329FE" w:rsidRDefault="00676448" w:rsidP="005B1D21">
      <w:pPr>
        <w:pStyle w:val="ListParagraph"/>
        <w:numPr>
          <w:ilvl w:val="0"/>
          <w:numId w:val="13"/>
        </w:numPr>
        <w:spacing w:after="60" w:line="480" w:lineRule="auto"/>
        <w:ind w:left="363"/>
        <w:jc w:val="both"/>
      </w:pPr>
      <w:proofErr w:type="spellStart"/>
      <w:r w:rsidRPr="008329FE">
        <w:t>Erlik</w:t>
      </w:r>
      <w:proofErr w:type="spellEnd"/>
      <w:r w:rsidRPr="008329FE">
        <w:t xml:space="preserve"> Y, Meldrum DR, Judd HL. </w:t>
      </w:r>
      <w:proofErr w:type="spellStart"/>
      <w:r w:rsidRPr="008329FE">
        <w:t>Estrogen</w:t>
      </w:r>
      <w:proofErr w:type="spellEnd"/>
      <w:r w:rsidRPr="008329FE">
        <w:t xml:space="preserve"> levels in postmenopausal women with hot flushes. </w:t>
      </w:r>
      <w:proofErr w:type="spellStart"/>
      <w:r w:rsidRPr="008329FE">
        <w:rPr>
          <w:i/>
          <w:iCs/>
        </w:rPr>
        <w:t>Obstet</w:t>
      </w:r>
      <w:proofErr w:type="spellEnd"/>
      <w:r w:rsidRPr="008329FE">
        <w:rPr>
          <w:i/>
          <w:iCs/>
        </w:rPr>
        <w:t xml:space="preserve"> </w:t>
      </w:r>
      <w:proofErr w:type="spellStart"/>
      <w:r w:rsidRPr="008329FE">
        <w:rPr>
          <w:i/>
          <w:iCs/>
        </w:rPr>
        <w:t>Gynaecol</w:t>
      </w:r>
      <w:proofErr w:type="spellEnd"/>
      <w:r w:rsidRPr="008329FE">
        <w:rPr>
          <w:i/>
          <w:iCs/>
        </w:rPr>
        <w:t xml:space="preserve"> </w:t>
      </w:r>
      <w:r w:rsidRPr="008329FE">
        <w:t>1982;</w:t>
      </w:r>
      <w:r w:rsidRPr="008329FE">
        <w:rPr>
          <w:i/>
          <w:iCs/>
        </w:rPr>
        <w:t xml:space="preserve"> </w:t>
      </w:r>
      <w:r w:rsidRPr="008329FE">
        <w:rPr>
          <w:b/>
          <w:bCs/>
        </w:rPr>
        <w:t>59</w:t>
      </w:r>
      <w:r w:rsidRPr="008329FE">
        <w:t>(4):403-407.</w:t>
      </w:r>
    </w:p>
    <w:p w:rsidR="00676448" w:rsidRPr="008329FE" w:rsidRDefault="00676448" w:rsidP="005B1D21">
      <w:pPr>
        <w:pStyle w:val="ListParagraph"/>
        <w:numPr>
          <w:ilvl w:val="0"/>
          <w:numId w:val="13"/>
        </w:numPr>
        <w:spacing w:after="60" w:line="480" w:lineRule="auto"/>
        <w:ind w:left="363"/>
        <w:jc w:val="both"/>
      </w:pPr>
      <w:proofErr w:type="spellStart"/>
      <w:r w:rsidRPr="008329FE">
        <w:t>Joffe</w:t>
      </w:r>
      <w:proofErr w:type="spellEnd"/>
      <w:r w:rsidRPr="008329FE">
        <w:t xml:space="preserve"> H, Hall JE, </w:t>
      </w:r>
      <w:proofErr w:type="spellStart"/>
      <w:r w:rsidRPr="008329FE">
        <w:t>Soares</w:t>
      </w:r>
      <w:proofErr w:type="spellEnd"/>
      <w:r w:rsidRPr="008329FE">
        <w:t xml:space="preserve"> CN et al. Vasomotor symptoms are associated with depression in </w:t>
      </w:r>
      <w:proofErr w:type="spellStart"/>
      <w:r w:rsidRPr="008329FE">
        <w:t>perimenopausal</w:t>
      </w:r>
      <w:proofErr w:type="spellEnd"/>
      <w:r w:rsidRPr="008329FE">
        <w:t xml:space="preserve"> women seeking primary care. </w:t>
      </w:r>
      <w:r w:rsidRPr="008329FE">
        <w:rPr>
          <w:i/>
          <w:iCs/>
        </w:rPr>
        <w:t>Menopause</w:t>
      </w:r>
      <w:r w:rsidRPr="008329FE">
        <w:t xml:space="preserve"> 2002; </w:t>
      </w:r>
      <w:r w:rsidRPr="008329FE">
        <w:rPr>
          <w:b/>
          <w:bCs/>
        </w:rPr>
        <w:t>9</w:t>
      </w:r>
      <w:r w:rsidRPr="008329FE">
        <w:t>(6):392-398.</w:t>
      </w:r>
    </w:p>
    <w:p w:rsidR="00676448" w:rsidRPr="008329FE" w:rsidRDefault="00676448" w:rsidP="005B1D21">
      <w:pPr>
        <w:pStyle w:val="ListParagraph"/>
        <w:numPr>
          <w:ilvl w:val="0"/>
          <w:numId w:val="13"/>
        </w:numPr>
        <w:spacing w:after="60" w:line="480" w:lineRule="auto"/>
        <w:ind w:left="363"/>
        <w:jc w:val="both"/>
      </w:pPr>
      <w:proofErr w:type="spellStart"/>
      <w:r w:rsidRPr="008329FE">
        <w:t>Juang</w:t>
      </w:r>
      <w:proofErr w:type="spellEnd"/>
      <w:r w:rsidRPr="008329FE">
        <w:t xml:space="preserve"> KD, Wang SJ, Lu SR, Lee SJ, </w:t>
      </w:r>
      <w:proofErr w:type="spellStart"/>
      <w:r w:rsidRPr="008329FE">
        <w:t>Fuh</w:t>
      </w:r>
      <w:proofErr w:type="spellEnd"/>
      <w:r w:rsidRPr="008329FE">
        <w:t xml:space="preserve"> JL. Hot flashes are associated with psychological symptoms of anxiety and depression in </w:t>
      </w:r>
      <w:proofErr w:type="spellStart"/>
      <w:r w:rsidRPr="008329FE">
        <w:t>peri</w:t>
      </w:r>
      <w:proofErr w:type="spellEnd"/>
      <w:r w:rsidRPr="008329FE">
        <w:t xml:space="preserve">- and post- but not in pre menopausal women. </w:t>
      </w:r>
      <w:proofErr w:type="spellStart"/>
      <w:r w:rsidRPr="008329FE">
        <w:rPr>
          <w:i/>
          <w:iCs/>
        </w:rPr>
        <w:t>Maturitas</w:t>
      </w:r>
      <w:proofErr w:type="spellEnd"/>
      <w:r w:rsidRPr="008329FE">
        <w:t xml:space="preserve"> 2005;</w:t>
      </w:r>
      <w:r w:rsidRPr="008329FE">
        <w:rPr>
          <w:i/>
          <w:iCs/>
        </w:rPr>
        <w:t xml:space="preserve"> </w:t>
      </w:r>
      <w:r w:rsidRPr="008329FE">
        <w:rPr>
          <w:b/>
          <w:bCs/>
        </w:rPr>
        <w:t>52</w:t>
      </w:r>
      <w:r w:rsidRPr="008329FE">
        <w:t>(2):119-126.</w:t>
      </w:r>
    </w:p>
    <w:p w:rsidR="00676448" w:rsidRPr="008329FE" w:rsidRDefault="00676448" w:rsidP="005B1D21">
      <w:pPr>
        <w:pStyle w:val="ListParagraph"/>
        <w:numPr>
          <w:ilvl w:val="0"/>
          <w:numId w:val="13"/>
        </w:numPr>
        <w:spacing w:after="60" w:line="480" w:lineRule="auto"/>
        <w:ind w:left="363"/>
        <w:jc w:val="both"/>
        <w:rPr>
          <w:rStyle w:val="Strong"/>
          <w:b w:val="0"/>
          <w:bCs w:val="0"/>
        </w:rPr>
      </w:pPr>
      <w:r w:rsidRPr="008329FE">
        <w:rPr>
          <w:rStyle w:val="Strong"/>
          <w:b w:val="0"/>
          <w:bCs w:val="0"/>
        </w:rPr>
        <w:t xml:space="preserve">Bosworth HB, Bastian LA, </w:t>
      </w:r>
      <w:proofErr w:type="spellStart"/>
      <w:r w:rsidRPr="008329FE">
        <w:rPr>
          <w:rStyle w:val="Strong"/>
          <w:b w:val="0"/>
          <w:bCs w:val="0"/>
        </w:rPr>
        <w:t>Kuchibhatla</w:t>
      </w:r>
      <w:proofErr w:type="spellEnd"/>
      <w:r w:rsidRPr="008329FE">
        <w:rPr>
          <w:rStyle w:val="Strong"/>
          <w:b w:val="0"/>
          <w:bCs w:val="0"/>
        </w:rPr>
        <w:t xml:space="preserve"> MN et al. Depressive symptoms, menopausal status, and climacteric symptoms in women at midlife. </w:t>
      </w:r>
      <w:proofErr w:type="spellStart"/>
      <w:r w:rsidRPr="008329FE">
        <w:rPr>
          <w:rStyle w:val="Strong"/>
          <w:b w:val="0"/>
          <w:bCs w:val="0"/>
          <w:i/>
          <w:iCs/>
        </w:rPr>
        <w:t>Psychosom</w:t>
      </w:r>
      <w:proofErr w:type="spellEnd"/>
      <w:r w:rsidRPr="008329FE">
        <w:rPr>
          <w:rStyle w:val="Strong"/>
          <w:b w:val="0"/>
          <w:bCs w:val="0"/>
          <w:i/>
          <w:iCs/>
        </w:rPr>
        <w:t xml:space="preserve"> Med </w:t>
      </w:r>
      <w:r w:rsidRPr="008329FE">
        <w:rPr>
          <w:rStyle w:val="Strong"/>
          <w:b w:val="0"/>
          <w:bCs w:val="0"/>
        </w:rPr>
        <w:t xml:space="preserve">2001; </w:t>
      </w:r>
      <w:r w:rsidRPr="008329FE">
        <w:rPr>
          <w:rStyle w:val="Strong"/>
        </w:rPr>
        <w:t>63</w:t>
      </w:r>
      <w:r w:rsidRPr="008329FE">
        <w:rPr>
          <w:rStyle w:val="Strong"/>
          <w:b w:val="0"/>
          <w:bCs w:val="0"/>
        </w:rPr>
        <w:t>(4):603-608.</w:t>
      </w:r>
    </w:p>
    <w:p w:rsidR="00676448" w:rsidRPr="008329FE" w:rsidRDefault="00676448" w:rsidP="005B1D21">
      <w:pPr>
        <w:pStyle w:val="ListParagraph"/>
        <w:numPr>
          <w:ilvl w:val="0"/>
          <w:numId w:val="13"/>
        </w:numPr>
        <w:spacing w:after="60" w:line="480" w:lineRule="auto"/>
        <w:ind w:left="363"/>
        <w:jc w:val="both"/>
      </w:pPr>
      <w:r w:rsidRPr="008329FE">
        <w:t xml:space="preserve">Cheng MH, Wang SJ, Wang PH, </w:t>
      </w:r>
      <w:proofErr w:type="spellStart"/>
      <w:r w:rsidRPr="008329FE">
        <w:t>Fuh</w:t>
      </w:r>
      <w:proofErr w:type="spellEnd"/>
      <w:r w:rsidRPr="008329FE">
        <w:t xml:space="preserve"> JL. Attitudes towards menopause among middle-aged women: a community survey in an island of Taiwan. </w:t>
      </w:r>
      <w:proofErr w:type="spellStart"/>
      <w:r w:rsidRPr="008329FE">
        <w:rPr>
          <w:i/>
          <w:iCs/>
        </w:rPr>
        <w:t>Maturitas</w:t>
      </w:r>
      <w:proofErr w:type="spellEnd"/>
      <w:r w:rsidRPr="008329FE">
        <w:t xml:space="preserve"> 2005; </w:t>
      </w:r>
      <w:r w:rsidRPr="008329FE">
        <w:rPr>
          <w:b/>
          <w:bCs/>
        </w:rPr>
        <w:t>52</w:t>
      </w:r>
      <w:r w:rsidRPr="008329FE">
        <w:t>(3-4):348-355.</w:t>
      </w:r>
    </w:p>
    <w:p w:rsidR="00676448" w:rsidRPr="008329FE" w:rsidRDefault="00676448" w:rsidP="005B1D21">
      <w:pPr>
        <w:pStyle w:val="ListParagraph"/>
        <w:numPr>
          <w:ilvl w:val="0"/>
          <w:numId w:val="13"/>
        </w:numPr>
        <w:spacing w:after="60" w:line="480" w:lineRule="auto"/>
        <w:ind w:left="363"/>
        <w:jc w:val="both"/>
      </w:pPr>
      <w:r w:rsidRPr="008329FE">
        <w:t xml:space="preserve">Hess R, Bryce CL, Hays RD et al. Attitudes towards menopause: status and race differences and the impact on symptoms. </w:t>
      </w:r>
      <w:r w:rsidRPr="008329FE">
        <w:rPr>
          <w:i/>
          <w:iCs/>
        </w:rPr>
        <w:t>Menopause</w:t>
      </w:r>
      <w:r w:rsidRPr="008329FE">
        <w:t xml:space="preserve"> 2006; </w:t>
      </w:r>
      <w:r w:rsidRPr="008329FE">
        <w:rPr>
          <w:b/>
          <w:bCs/>
        </w:rPr>
        <w:t>13</w:t>
      </w:r>
      <w:r w:rsidRPr="008329FE">
        <w:t>(6):986.</w:t>
      </w:r>
    </w:p>
    <w:p w:rsidR="00676448" w:rsidRPr="008329FE" w:rsidRDefault="00676448" w:rsidP="005B1D21">
      <w:pPr>
        <w:pStyle w:val="ListParagraph"/>
        <w:numPr>
          <w:ilvl w:val="0"/>
          <w:numId w:val="13"/>
        </w:numPr>
        <w:spacing w:after="60" w:line="480" w:lineRule="auto"/>
        <w:ind w:left="363"/>
        <w:jc w:val="both"/>
      </w:pPr>
      <w:r w:rsidRPr="008329FE">
        <w:t xml:space="preserve">Hess R, </w:t>
      </w:r>
      <w:proofErr w:type="spellStart"/>
      <w:r w:rsidRPr="008329FE">
        <w:t>Olshansky</w:t>
      </w:r>
      <w:proofErr w:type="spellEnd"/>
      <w:r w:rsidRPr="008329FE">
        <w:t xml:space="preserve"> E, Ness R et al. Pregnancy and birth history influence women’s experience of menopause. </w:t>
      </w:r>
      <w:r w:rsidRPr="008329FE">
        <w:rPr>
          <w:i/>
          <w:iCs/>
        </w:rPr>
        <w:t>Menopause</w:t>
      </w:r>
      <w:r w:rsidRPr="008329FE">
        <w:t xml:space="preserve"> 2008; </w:t>
      </w:r>
      <w:r w:rsidRPr="008329FE">
        <w:rPr>
          <w:b/>
          <w:bCs/>
        </w:rPr>
        <w:t>15</w:t>
      </w:r>
      <w:r w:rsidRPr="008329FE">
        <w:t>(3):435-441.</w:t>
      </w:r>
    </w:p>
    <w:p w:rsidR="00676448" w:rsidRPr="008329FE" w:rsidRDefault="00676448" w:rsidP="005B1D21">
      <w:pPr>
        <w:pStyle w:val="ListParagraph"/>
        <w:numPr>
          <w:ilvl w:val="0"/>
          <w:numId w:val="13"/>
        </w:numPr>
        <w:spacing w:after="60" w:line="480" w:lineRule="auto"/>
        <w:ind w:left="363"/>
        <w:jc w:val="both"/>
      </w:pPr>
      <w:r w:rsidRPr="008329FE">
        <w:lastRenderedPageBreak/>
        <w:t xml:space="preserve">Abe T, </w:t>
      </w:r>
      <w:proofErr w:type="spellStart"/>
      <w:r w:rsidRPr="008329FE">
        <w:t>Moritsuka</w:t>
      </w:r>
      <w:proofErr w:type="spellEnd"/>
      <w:r w:rsidRPr="008329FE">
        <w:t xml:space="preserve"> T. A case-control study on climacteric symptoms and complaints of Japanese women by symptomatic type for psychosocial variables. </w:t>
      </w:r>
      <w:proofErr w:type="spellStart"/>
      <w:r w:rsidRPr="008329FE">
        <w:rPr>
          <w:i/>
          <w:iCs/>
        </w:rPr>
        <w:t>Maturitas</w:t>
      </w:r>
      <w:proofErr w:type="spellEnd"/>
      <w:r w:rsidRPr="008329FE">
        <w:t xml:space="preserve"> 1986;</w:t>
      </w:r>
      <w:r w:rsidRPr="008329FE">
        <w:rPr>
          <w:i/>
          <w:iCs/>
        </w:rPr>
        <w:t xml:space="preserve"> </w:t>
      </w:r>
      <w:r w:rsidRPr="008329FE">
        <w:rPr>
          <w:b/>
          <w:bCs/>
        </w:rPr>
        <w:t>8</w:t>
      </w:r>
      <w:r w:rsidRPr="008329FE">
        <w:t>(3):255-265.</w:t>
      </w:r>
    </w:p>
    <w:p w:rsidR="00676448" w:rsidRPr="008329FE" w:rsidRDefault="00676448" w:rsidP="005B1D21">
      <w:pPr>
        <w:pStyle w:val="ListParagraph"/>
        <w:numPr>
          <w:ilvl w:val="0"/>
          <w:numId w:val="13"/>
        </w:numPr>
        <w:spacing w:after="60" w:line="480" w:lineRule="auto"/>
        <w:ind w:left="363"/>
        <w:jc w:val="both"/>
      </w:pPr>
      <w:r w:rsidRPr="008329FE">
        <w:t xml:space="preserve">Williams RE, </w:t>
      </w:r>
      <w:proofErr w:type="spellStart"/>
      <w:r w:rsidRPr="008329FE">
        <w:t>Kalilani</w:t>
      </w:r>
      <w:proofErr w:type="spellEnd"/>
      <w:r w:rsidRPr="008329FE">
        <w:t xml:space="preserve"> L, </w:t>
      </w:r>
      <w:proofErr w:type="spellStart"/>
      <w:r w:rsidRPr="008329FE">
        <w:t>DiBenedetti</w:t>
      </w:r>
      <w:proofErr w:type="spellEnd"/>
      <w:r w:rsidRPr="008329FE">
        <w:t xml:space="preserve"> DB, Zhou X, </w:t>
      </w:r>
      <w:proofErr w:type="spellStart"/>
      <w:r w:rsidRPr="008329FE">
        <w:t>Fehnel</w:t>
      </w:r>
      <w:proofErr w:type="spellEnd"/>
      <w:r w:rsidRPr="008329FE">
        <w:t xml:space="preserve"> SE, Clark RV. Healthcare seeking and treatment for menopausal symptoms in the United </w:t>
      </w:r>
      <w:proofErr w:type="gramStart"/>
      <w:r w:rsidRPr="008329FE">
        <w:t>states</w:t>
      </w:r>
      <w:proofErr w:type="gramEnd"/>
      <w:r w:rsidRPr="008329FE">
        <w:t xml:space="preserve">. </w:t>
      </w:r>
      <w:proofErr w:type="spellStart"/>
      <w:r w:rsidRPr="008329FE">
        <w:rPr>
          <w:i/>
          <w:iCs/>
        </w:rPr>
        <w:t>Maturitas</w:t>
      </w:r>
      <w:proofErr w:type="spellEnd"/>
      <w:r w:rsidRPr="008329FE">
        <w:t xml:space="preserve"> 2007;</w:t>
      </w:r>
      <w:r w:rsidRPr="008329FE">
        <w:rPr>
          <w:i/>
          <w:iCs/>
        </w:rPr>
        <w:t xml:space="preserve"> </w:t>
      </w:r>
      <w:r w:rsidRPr="008329FE">
        <w:rPr>
          <w:b/>
          <w:bCs/>
        </w:rPr>
        <w:t>58</w:t>
      </w:r>
      <w:r w:rsidRPr="008329FE">
        <w:t>(4):348-358.</w:t>
      </w:r>
    </w:p>
    <w:p w:rsidR="00676448" w:rsidRPr="008329FE" w:rsidRDefault="00676448" w:rsidP="005B1D21">
      <w:pPr>
        <w:pStyle w:val="ListParagraph"/>
        <w:numPr>
          <w:ilvl w:val="0"/>
          <w:numId w:val="13"/>
        </w:numPr>
        <w:spacing w:after="60" w:line="480" w:lineRule="auto"/>
        <w:ind w:left="363"/>
        <w:jc w:val="both"/>
      </w:pPr>
      <w:proofErr w:type="spellStart"/>
      <w:r w:rsidRPr="008329FE">
        <w:t>Dhillon</w:t>
      </w:r>
      <w:proofErr w:type="spellEnd"/>
      <w:r w:rsidRPr="008329FE">
        <w:t xml:space="preserve"> HK, Singh HJ, </w:t>
      </w:r>
      <w:proofErr w:type="spellStart"/>
      <w:r w:rsidRPr="008329FE">
        <w:t>Mahmood</w:t>
      </w:r>
      <w:proofErr w:type="spellEnd"/>
      <w:r w:rsidRPr="008329FE">
        <w:t xml:space="preserve"> NM, </w:t>
      </w:r>
      <w:proofErr w:type="spellStart"/>
      <w:r w:rsidRPr="008329FE">
        <w:t>Ghaffar</w:t>
      </w:r>
      <w:proofErr w:type="spellEnd"/>
      <w:r w:rsidRPr="008329FE">
        <w:t xml:space="preserve"> NA. Self care actions taken for vasomotor symptoms by some postmenopausal </w:t>
      </w:r>
      <w:proofErr w:type="spellStart"/>
      <w:r w:rsidRPr="008329FE">
        <w:t>Kelantanese</w:t>
      </w:r>
      <w:proofErr w:type="spellEnd"/>
      <w:r w:rsidRPr="008329FE">
        <w:t xml:space="preserve"> women. </w:t>
      </w:r>
      <w:r w:rsidRPr="008329FE">
        <w:rPr>
          <w:i/>
          <w:iCs/>
        </w:rPr>
        <w:t>Climacteric</w:t>
      </w:r>
      <w:r w:rsidRPr="008329FE">
        <w:t xml:space="preserve"> 2008; </w:t>
      </w:r>
      <w:r w:rsidRPr="008329FE">
        <w:rPr>
          <w:b/>
          <w:bCs/>
        </w:rPr>
        <w:t>11</w:t>
      </w:r>
      <w:r w:rsidRPr="008329FE">
        <w:t>(6):518-524.</w:t>
      </w:r>
    </w:p>
    <w:p w:rsidR="00676448" w:rsidRPr="008329FE" w:rsidRDefault="00676448" w:rsidP="005B1D21">
      <w:pPr>
        <w:pStyle w:val="ListParagraph"/>
        <w:numPr>
          <w:ilvl w:val="0"/>
          <w:numId w:val="13"/>
        </w:numPr>
        <w:spacing w:after="60" w:line="480" w:lineRule="auto"/>
        <w:ind w:left="363"/>
        <w:jc w:val="both"/>
      </w:pPr>
      <w:proofErr w:type="spellStart"/>
      <w:r w:rsidRPr="008329FE">
        <w:t>Hvas</w:t>
      </w:r>
      <w:proofErr w:type="spellEnd"/>
      <w:r w:rsidRPr="008329FE">
        <w:t xml:space="preserve"> L, </w:t>
      </w:r>
      <w:proofErr w:type="spellStart"/>
      <w:r w:rsidRPr="008329FE">
        <w:t>Thorsen</w:t>
      </w:r>
      <w:proofErr w:type="spellEnd"/>
      <w:r w:rsidRPr="008329FE">
        <w:t xml:space="preserve"> H, </w:t>
      </w:r>
      <w:proofErr w:type="spellStart"/>
      <w:r w:rsidRPr="008329FE">
        <w:t>Søndergaard</w:t>
      </w:r>
      <w:proofErr w:type="spellEnd"/>
      <w:r w:rsidRPr="008329FE">
        <w:t xml:space="preserve"> K. Discussing menopause in general practice. </w:t>
      </w:r>
      <w:proofErr w:type="spellStart"/>
      <w:r w:rsidRPr="008329FE">
        <w:rPr>
          <w:i/>
          <w:iCs/>
        </w:rPr>
        <w:t>Maturitas</w:t>
      </w:r>
      <w:proofErr w:type="spellEnd"/>
      <w:r w:rsidRPr="008329FE">
        <w:t xml:space="preserve"> 2003; </w:t>
      </w:r>
      <w:r w:rsidRPr="008329FE">
        <w:rPr>
          <w:b/>
          <w:bCs/>
        </w:rPr>
        <w:t>46</w:t>
      </w:r>
      <w:r w:rsidRPr="008329FE">
        <w:t>(2):139-146.</w:t>
      </w:r>
    </w:p>
    <w:p w:rsidR="00676448" w:rsidRPr="008329FE" w:rsidRDefault="00676448" w:rsidP="005B1D21">
      <w:pPr>
        <w:pStyle w:val="ListParagraph"/>
        <w:numPr>
          <w:ilvl w:val="0"/>
          <w:numId w:val="13"/>
        </w:numPr>
        <w:spacing w:after="60" w:line="480" w:lineRule="auto"/>
        <w:ind w:left="363"/>
        <w:jc w:val="both"/>
      </w:pPr>
      <w:r w:rsidRPr="008329FE">
        <w:t xml:space="preserve">Daley A, MacArthur C, McManus R et al. Factors associated with the use of complementary medicine and non-pharmacological intervention in symptomatic menopausal women. </w:t>
      </w:r>
      <w:r w:rsidRPr="008329FE">
        <w:rPr>
          <w:i/>
          <w:iCs/>
        </w:rPr>
        <w:t>Climacteric</w:t>
      </w:r>
      <w:r w:rsidRPr="008329FE">
        <w:t xml:space="preserve"> 2006;</w:t>
      </w:r>
      <w:r w:rsidRPr="008329FE">
        <w:rPr>
          <w:i/>
          <w:iCs/>
        </w:rPr>
        <w:t xml:space="preserve"> </w:t>
      </w:r>
      <w:r w:rsidRPr="008329FE">
        <w:rPr>
          <w:b/>
          <w:bCs/>
        </w:rPr>
        <w:t>9</w:t>
      </w:r>
      <w:r w:rsidRPr="008329FE">
        <w:t>(5):336-346.</w:t>
      </w:r>
    </w:p>
    <w:p w:rsidR="00676448" w:rsidRPr="008329FE" w:rsidRDefault="00676448" w:rsidP="005B1D21">
      <w:pPr>
        <w:pStyle w:val="NormalWeb"/>
        <w:numPr>
          <w:ilvl w:val="0"/>
          <w:numId w:val="13"/>
        </w:numPr>
        <w:spacing w:before="0" w:beforeAutospacing="0" w:after="60" w:afterAutospacing="0" w:line="480" w:lineRule="auto"/>
        <w:ind w:left="363"/>
        <w:jc w:val="both"/>
      </w:pPr>
      <w:r w:rsidRPr="008329FE">
        <w:t xml:space="preserve">Newton KM, </w:t>
      </w:r>
      <w:proofErr w:type="spellStart"/>
      <w:r w:rsidRPr="008329FE">
        <w:t>Buist</w:t>
      </w:r>
      <w:proofErr w:type="spellEnd"/>
      <w:r w:rsidRPr="008329FE">
        <w:t xml:space="preserve"> DSM, Keenan NL, Anderson LA, </w:t>
      </w:r>
      <w:proofErr w:type="spellStart"/>
      <w:r w:rsidRPr="008329FE">
        <w:t>LaCroix</w:t>
      </w:r>
      <w:proofErr w:type="spellEnd"/>
      <w:r w:rsidRPr="008329FE">
        <w:t xml:space="preserve"> AZ. Use of alternative therapies for menopause symptoms: results of a population-based survey. </w:t>
      </w:r>
      <w:proofErr w:type="spellStart"/>
      <w:r w:rsidRPr="008329FE">
        <w:rPr>
          <w:i/>
          <w:iCs/>
        </w:rPr>
        <w:t>Obstet</w:t>
      </w:r>
      <w:proofErr w:type="spellEnd"/>
      <w:r w:rsidRPr="008329FE">
        <w:rPr>
          <w:i/>
          <w:iCs/>
        </w:rPr>
        <w:t xml:space="preserve"> </w:t>
      </w:r>
      <w:proofErr w:type="spellStart"/>
      <w:r w:rsidRPr="008329FE">
        <w:rPr>
          <w:i/>
          <w:iCs/>
        </w:rPr>
        <w:t>Gynaecol</w:t>
      </w:r>
      <w:proofErr w:type="spellEnd"/>
      <w:r w:rsidRPr="008329FE">
        <w:t xml:space="preserve"> 2002, </w:t>
      </w:r>
      <w:r w:rsidRPr="008329FE">
        <w:rPr>
          <w:b/>
          <w:bCs/>
        </w:rPr>
        <w:t>100</w:t>
      </w:r>
      <w:r w:rsidRPr="008329FE">
        <w:t>(1):18-25</w:t>
      </w:r>
    </w:p>
    <w:p w:rsidR="00676448" w:rsidRPr="008329FE" w:rsidRDefault="00676448" w:rsidP="005B1D21">
      <w:pPr>
        <w:pStyle w:val="ListParagraph"/>
        <w:numPr>
          <w:ilvl w:val="0"/>
          <w:numId w:val="13"/>
        </w:numPr>
        <w:spacing w:after="60" w:line="480" w:lineRule="auto"/>
        <w:ind w:left="363"/>
        <w:jc w:val="both"/>
      </w:pPr>
      <w:r w:rsidRPr="008329FE">
        <w:t xml:space="preserve">Bair YA, </w:t>
      </w:r>
      <w:r w:rsidRPr="008329FE">
        <w:rPr>
          <w:rStyle w:val="Strong"/>
          <w:b w:val="0"/>
          <w:bCs w:val="0"/>
        </w:rPr>
        <w:t xml:space="preserve">Gold EB, Greendale GA et al. </w:t>
      </w:r>
      <w:r w:rsidRPr="008329FE">
        <w:t xml:space="preserve">Ethnic differences in use of complementary and alternative medicine at midlife: longitudinal results from SWAN participants. </w:t>
      </w:r>
      <w:r w:rsidRPr="008329FE">
        <w:rPr>
          <w:i/>
          <w:iCs/>
        </w:rPr>
        <w:t>Am J Public Health</w:t>
      </w:r>
      <w:r w:rsidRPr="008329FE">
        <w:t xml:space="preserve"> 2002;</w:t>
      </w:r>
      <w:r w:rsidRPr="008329FE">
        <w:rPr>
          <w:i/>
          <w:iCs/>
        </w:rPr>
        <w:t xml:space="preserve"> </w:t>
      </w:r>
      <w:r w:rsidRPr="008329FE">
        <w:rPr>
          <w:b/>
          <w:bCs/>
        </w:rPr>
        <w:t>92</w:t>
      </w:r>
      <w:r w:rsidRPr="008329FE">
        <w:t xml:space="preserve">(11):1832-1840. </w:t>
      </w:r>
    </w:p>
    <w:p w:rsidR="00676448" w:rsidRPr="008329FE" w:rsidRDefault="00676448" w:rsidP="005B1D21">
      <w:pPr>
        <w:pStyle w:val="ListParagraph"/>
        <w:numPr>
          <w:ilvl w:val="0"/>
          <w:numId w:val="13"/>
        </w:numPr>
        <w:spacing w:after="60" w:line="480" w:lineRule="auto"/>
        <w:ind w:left="363"/>
        <w:jc w:val="both"/>
      </w:pPr>
      <w:proofErr w:type="spellStart"/>
      <w:r w:rsidRPr="008329FE">
        <w:t>Hilditch</w:t>
      </w:r>
      <w:proofErr w:type="spellEnd"/>
      <w:r w:rsidRPr="008329FE">
        <w:t xml:space="preserve"> JR, Chen S, Norton PG, Lewis J. Experience of menopausal symptoms by Chinese and Canadian women. </w:t>
      </w:r>
      <w:r w:rsidRPr="008329FE">
        <w:rPr>
          <w:i/>
          <w:iCs/>
        </w:rPr>
        <w:t>Climacteric</w:t>
      </w:r>
      <w:r w:rsidRPr="008329FE">
        <w:t xml:space="preserve"> 1999; </w:t>
      </w:r>
      <w:r w:rsidRPr="008329FE">
        <w:rPr>
          <w:b/>
          <w:bCs/>
        </w:rPr>
        <w:t>2</w:t>
      </w:r>
      <w:r w:rsidRPr="008329FE">
        <w:t>(3):164-173.</w:t>
      </w:r>
    </w:p>
    <w:p w:rsidR="00676448" w:rsidRPr="008329FE" w:rsidRDefault="00676448" w:rsidP="005B1D21">
      <w:pPr>
        <w:pStyle w:val="NormalWeb"/>
        <w:numPr>
          <w:ilvl w:val="0"/>
          <w:numId w:val="13"/>
        </w:numPr>
        <w:spacing w:before="0" w:beforeAutospacing="0" w:after="60" w:afterAutospacing="0" w:line="480" w:lineRule="auto"/>
        <w:ind w:left="363"/>
        <w:jc w:val="both"/>
      </w:pPr>
      <w:proofErr w:type="spellStart"/>
      <w:r w:rsidRPr="008329FE">
        <w:t>Sueblinvong</w:t>
      </w:r>
      <w:proofErr w:type="spellEnd"/>
      <w:r w:rsidRPr="008329FE">
        <w:t xml:space="preserve"> T, </w:t>
      </w:r>
      <w:proofErr w:type="spellStart"/>
      <w:r w:rsidRPr="008329FE">
        <w:t>Taechakraichana</w:t>
      </w:r>
      <w:proofErr w:type="spellEnd"/>
      <w:r w:rsidRPr="008329FE">
        <w:t xml:space="preserve"> N, </w:t>
      </w:r>
      <w:proofErr w:type="spellStart"/>
      <w:r w:rsidRPr="008329FE">
        <w:t>Phupong</w:t>
      </w:r>
      <w:proofErr w:type="spellEnd"/>
      <w:r w:rsidRPr="008329FE">
        <w:t xml:space="preserve"> V. Prevalence of climacteric symptoms according to years after menopause. </w:t>
      </w:r>
      <w:r w:rsidRPr="008329FE">
        <w:rPr>
          <w:i/>
          <w:iCs/>
        </w:rPr>
        <w:t xml:space="preserve">J Med Assoc Thai </w:t>
      </w:r>
      <w:r w:rsidRPr="008329FE">
        <w:t xml:space="preserve">2001; </w:t>
      </w:r>
      <w:r w:rsidRPr="008329FE">
        <w:rPr>
          <w:b/>
          <w:bCs/>
        </w:rPr>
        <w:t>84</w:t>
      </w:r>
      <w:r w:rsidRPr="008329FE">
        <w:t>(12):1681-1691</w:t>
      </w:r>
    </w:p>
    <w:p w:rsidR="00676448" w:rsidRPr="008329FE" w:rsidRDefault="00676448" w:rsidP="005B1D21">
      <w:pPr>
        <w:pStyle w:val="NormalWeb"/>
        <w:numPr>
          <w:ilvl w:val="0"/>
          <w:numId w:val="13"/>
        </w:numPr>
        <w:spacing w:before="0" w:beforeAutospacing="0" w:after="60" w:afterAutospacing="0" w:line="480" w:lineRule="auto"/>
        <w:ind w:left="363"/>
        <w:jc w:val="both"/>
      </w:pPr>
      <w:proofErr w:type="spellStart"/>
      <w:r w:rsidRPr="008329FE">
        <w:lastRenderedPageBreak/>
        <w:t>Syed</w:t>
      </w:r>
      <w:proofErr w:type="spellEnd"/>
      <w:r w:rsidRPr="008329FE">
        <w:t xml:space="preserve"> </w:t>
      </w:r>
      <w:proofErr w:type="spellStart"/>
      <w:r w:rsidRPr="008329FE">
        <w:t>Alwi</w:t>
      </w:r>
      <w:proofErr w:type="spellEnd"/>
      <w:r w:rsidRPr="008329FE">
        <w:t xml:space="preserve"> SAR, Lee PY, </w:t>
      </w:r>
      <w:proofErr w:type="spellStart"/>
      <w:r w:rsidRPr="008329FE">
        <w:t>Awi</w:t>
      </w:r>
      <w:proofErr w:type="spellEnd"/>
      <w:r w:rsidRPr="008329FE">
        <w:t xml:space="preserve"> I, </w:t>
      </w:r>
      <w:proofErr w:type="spellStart"/>
      <w:r w:rsidRPr="008329FE">
        <w:t>Mallik</w:t>
      </w:r>
      <w:proofErr w:type="spellEnd"/>
      <w:r w:rsidRPr="008329FE">
        <w:t xml:space="preserve"> PS, </w:t>
      </w:r>
      <w:proofErr w:type="spellStart"/>
      <w:r w:rsidRPr="008329FE">
        <w:t>Haizal</w:t>
      </w:r>
      <w:proofErr w:type="spellEnd"/>
      <w:r w:rsidRPr="008329FE">
        <w:t xml:space="preserve"> MN. The menopausal experience among indigenous women of Sarawak, Malaysia. </w:t>
      </w:r>
      <w:r w:rsidRPr="008329FE">
        <w:rPr>
          <w:i/>
          <w:iCs/>
        </w:rPr>
        <w:t>Climacteric</w:t>
      </w:r>
      <w:r w:rsidRPr="008329FE">
        <w:t xml:space="preserve"> 2009;</w:t>
      </w:r>
      <w:r w:rsidRPr="008329FE">
        <w:rPr>
          <w:i/>
          <w:iCs/>
        </w:rPr>
        <w:t xml:space="preserve"> </w:t>
      </w:r>
      <w:r w:rsidRPr="008329FE">
        <w:rPr>
          <w:b/>
          <w:bCs/>
        </w:rPr>
        <w:t>12</w:t>
      </w:r>
      <w:r w:rsidRPr="008329FE">
        <w:t>(6):548-556.</w:t>
      </w:r>
    </w:p>
    <w:p w:rsidR="00620DE5" w:rsidRPr="008329FE" w:rsidRDefault="00620DE5" w:rsidP="005B1D21">
      <w:pPr>
        <w:pStyle w:val="ListParagraph"/>
        <w:numPr>
          <w:ilvl w:val="0"/>
          <w:numId w:val="13"/>
        </w:numPr>
        <w:spacing w:after="60" w:line="480" w:lineRule="auto"/>
        <w:ind w:left="363"/>
        <w:jc w:val="both"/>
      </w:pPr>
      <w:r w:rsidRPr="008329FE">
        <w:t xml:space="preserve">Scotland’s Census Results On-line. Available from: </w:t>
      </w:r>
      <w:hyperlink r:id="rId9" w:history="1">
        <w:r w:rsidRPr="008329FE">
          <w:rPr>
            <w:rStyle w:val="Hyperlink"/>
          </w:rPr>
          <w:t>http://www.scrol.gov.uk/scrol/common/home.jsp  Accessed 14 March 2012</w:t>
        </w:r>
      </w:hyperlink>
      <w:r w:rsidRPr="008329FE">
        <w:t xml:space="preserve">. </w:t>
      </w:r>
    </w:p>
    <w:p w:rsidR="00620DE5" w:rsidRPr="008329FE" w:rsidRDefault="00620DE5" w:rsidP="005B1D21">
      <w:pPr>
        <w:pStyle w:val="ListParagraph"/>
        <w:numPr>
          <w:ilvl w:val="0"/>
          <w:numId w:val="13"/>
        </w:numPr>
        <w:spacing w:after="60" w:line="480" w:lineRule="auto"/>
        <w:ind w:left="363"/>
        <w:jc w:val="both"/>
        <w:rPr>
          <w:b/>
        </w:rPr>
      </w:pPr>
      <w:r w:rsidRPr="008329FE">
        <w:rPr>
          <w:rStyle w:val="Strong"/>
          <w:b w:val="0"/>
          <w:color w:val="000000"/>
        </w:rPr>
        <w:t xml:space="preserve">Table 7.3 Mean </w:t>
      </w:r>
      <w:r w:rsidRPr="008329FE">
        <w:rPr>
          <w:rStyle w:val="HTMLAcronym"/>
          <w:bCs/>
          <w:color w:val="000000"/>
        </w:rPr>
        <w:t>BMI</w:t>
      </w:r>
      <w:r w:rsidRPr="008329FE">
        <w:rPr>
          <w:rStyle w:val="Strong"/>
          <w:b w:val="0"/>
          <w:color w:val="000000"/>
        </w:rPr>
        <w:t xml:space="preserve">, prevalence of overweight and obesity, 1995, 1998, 2003, 2008, 2009, 2010, by age and sex. Available from: </w:t>
      </w:r>
      <w:hyperlink r:id="rId10" w:history="1">
        <w:r w:rsidRPr="008329FE">
          <w:rPr>
            <w:rStyle w:val="Hyperlink"/>
          </w:rPr>
          <w:t>http://www.scotland.gov.uk/Publications/2011/09/27084018/55</w:t>
        </w:r>
      </w:hyperlink>
      <w:r w:rsidRPr="008329FE">
        <w:rPr>
          <w:rStyle w:val="Strong"/>
          <w:b w:val="0"/>
          <w:color w:val="000000"/>
        </w:rPr>
        <w:t xml:space="preserve">  Accessed 14 March 2012.</w:t>
      </w:r>
    </w:p>
    <w:p w:rsidR="00676448" w:rsidRPr="008329FE" w:rsidRDefault="00676448" w:rsidP="005B1D21">
      <w:pPr>
        <w:pStyle w:val="ListParagraph"/>
        <w:numPr>
          <w:ilvl w:val="0"/>
          <w:numId w:val="13"/>
        </w:numPr>
        <w:spacing w:after="60" w:line="480" w:lineRule="auto"/>
        <w:ind w:left="363"/>
        <w:jc w:val="both"/>
      </w:pPr>
      <w:r w:rsidRPr="008329FE">
        <w:t xml:space="preserve">Hunter M, </w:t>
      </w:r>
      <w:proofErr w:type="spellStart"/>
      <w:r w:rsidRPr="008329FE">
        <w:t>Battersby</w:t>
      </w:r>
      <w:proofErr w:type="spellEnd"/>
      <w:r w:rsidRPr="008329FE">
        <w:t xml:space="preserve"> R, Whitehead M. Relationships between psychological symptoms, somatic complaints and menopausal status. </w:t>
      </w:r>
      <w:proofErr w:type="spellStart"/>
      <w:r w:rsidRPr="008329FE">
        <w:rPr>
          <w:i/>
          <w:iCs/>
        </w:rPr>
        <w:t>Maturitas</w:t>
      </w:r>
      <w:proofErr w:type="spellEnd"/>
      <w:r w:rsidRPr="008329FE">
        <w:t xml:space="preserve"> 1986;</w:t>
      </w:r>
      <w:r w:rsidRPr="008329FE">
        <w:rPr>
          <w:i/>
          <w:iCs/>
        </w:rPr>
        <w:t xml:space="preserve"> </w:t>
      </w:r>
      <w:r w:rsidRPr="008329FE">
        <w:rPr>
          <w:b/>
          <w:bCs/>
        </w:rPr>
        <w:t>8</w:t>
      </w:r>
      <w:r w:rsidRPr="008329FE">
        <w:t>(3):217-228.</w:t>
      </w:r>
    </w:p>
    <w:p w:rsidR="00676448" w:rsidRPr="008329FE" w:rsidRDefault="00676448" w:rsidP="005B1D21">
      <w:pPr>
        <w:pStyle w:val="ListParagraph"/>
        <w:numPr>
          <w:ilvl w:val="0"/>
          <w:numId w:val="13"/>
        </w:numPr>
        <w:spacing w:after="60" w:line="480" w:lineRule="auto"/>
        <w:ind w:left="363"/>
        <w:jc w:val="both"/>
      </w:pPr>
      <w:proofErr w:type="spellStart"/>
      <w:r w:rsidRPr="008329FE">
        <w:t>Dennerstein</w:t>
      </w:r>
      <w:proofErr w:type="spellEnd"/>
      <w:r w:rsidRPr="008329FE">
        <w:t xml:space="preserve"> L, Smith AM, Morse C et al. Menopausal symptoms in Australian women. </w:t>
      </w:r>
      <w:r w:rsidRPr="008329FE">
        <w:rPr>
          <w:i/>
          <w:iCs/>
        </w:rPr>
        <w:t xml:space="preserve">Med J </w:t>
      </w:r>
      <w:proofErr w:type="spellStart"/>
      <w:r w:rsidRPr="008329FE">
        <w:rPr>
          <w:i/>
          <w:iCs/>
        </w:rPr>
        <w:t>Aust</w:t>
      </w:r>
      <w:proofErr w:type="spellEnd"/>
      <w:r w:rsidRPr="008329FE">
        <w:rPr>
          <w:i/>
          <w:iCs/>
        </w:rPr>
        <w:t xml:space="preserve"> </w:t>
      </w:r>
      <w:r w:rsidRPr="008329FE">
        <w:t>1993;</w:t>
      </w:r>
      <w:r w:rsidRPr="008329FE">
        <w:rPr>
          <w:i/>
          <w:iCs/>
        </w:rPr>
        <w:t xml:space="preserve"> </w:t>
      </w:r>
      <w:r w:rsidRPr="008329FE">
        <w:rPr>
          <w:b/>
          <w:bCs/>
        </w:rPr>
        <w:t>159</w:t>
      </w:r>
      <w:r w:rsidRPr="008329FE">
        <w:t>(4):232-236.</w:t>
      </w:r>
    </w:p>
    <w:p w:rsidR="00676448" w:rsidRPr="008329FE" w:rsidRDefault="00676448" w:rsidP="005B1D21">
      <w:pPr>
        <w:pStyle w:val="NormalWeb"/>
        <w:numPr>
          <w:ilvl w:val="0"/>
          <w:numId w:val="13"/>
        </w:numPr>
        <w:spacing w:before="0" w:beforeAutospacing="0" w:after="60" w:afterAutospacing="0" w:line="480" w:lineRule="auto"/>
        <w:ind w:left="363"/>
        <w:jc w:val="both"/>
      </w:pPr>
      <w:proofErr w:type="spellStart"/>
      <w:r w:rsidRPr="008329FE">
        <w:t>Perz</w:t>
      </w:r>
      <w:proofErr w:type="spellEnd"/>
      <w:r w:rsidRPr="008329FE">
        <w:t xml:space="preserve"> JM. Development of the menopause symptom list: A factor analytic study of menopause associated symptoms. </w:t>
      </w:r>
      <w:r w:rsidRPr="008329FE">
        <w:rPr>
          <w:i/>
          <w:iCs/>
        </w:rPr>
        <w:t>Women &amp; Health</w:t>
      </w:r>
      <w:r w:rsidRPr="008329FE">
        <w:t xml:space="preserve"> 1997; </w:t>
      </w:r>
      <w:r w:rsidRPr="008329FE">
        <w:rPr>
          <w:b/>
          <w:bCs/>
        </w:rPr>
        <w:t>25</w:t>
      </w:r>
      <w:r w:rsidRPr="008329FE">
        <w:t>(1):53-69.</w:t>
      </w:r>
    </w:p>
    <w:p w:rsidR="00676448" w:rsidRPr="008329FE" w:rsidRDefault="00676448" w:rsidP="005B1D21">
      <w:pPr>
        <w:pStyle w:val="ListParagraph"/>
        <w:numPr>
          <w:ilvl w:val="0"/>
          <w:numId w:val="13"/>
        </w:numPr>
        <w:spacing w:after="60" w:line="480" w:lineRule="auto"/>
        <w:ind w:left="363"/>
        <w:jc w:val="both"/>
      </w:pPr>
      <w:proofErr w:type="spellStart"/>
      <w:r w:rsidRPr="008329FE">
        <w:t>Dennerstein</w:t>
      </w:r>
      <w:proofErr w:type="spellEnd"/>
      <w:r w:rsidRPr="008329FE">
        <w:t xml:space="preserve"> L, </w:t>
      </w:r>
      <w:proofErr w:type="spellStart"/>
      <w:r w:rsidRPr="008329FE">
        <w:t>Helmes</w:t>
      </w:r>
      <w:proofErr w:type="spellEnd"/>
      <w:r w:rsidRPr="008329FE">
        <w:t xml:space="preserve"> E. The menopausal transition and quality of life: </w:t>
      </w:r>
      <w:proofErr w:type="spellStart"/>
      <w:r w:rsidRPr="008329FE">
        <w:t>methodologic</w:t>
      </w:r>
      <w:proofErr w:type="spellEnd"/>
      <w:r w:rsidRPr="008329FE">
        <w:t xml:space="preserve"> issues. </w:t>
      </w:r>
      <w:proofErr w:type="spellStart"/>
      <w:r w:rsidRPr="008329FE">
        <w:rPr>
          <w:i/>
          <w:iCs/>
        </w:rPr>
        <w:t>Qual</w:t>
      </w:r>
      <w:proofErr w:type="spellEnd"/>
      <w:r w:rsidRPr="008329FE">
        <w:rPr>
          <w:i/>
          <w:iCs/>
        </w:rPr>
        <w:t xml:space="preserve"> life Res</w:t>
      </w:r>
      <w:r w:rsidRPr="008329FE">
        <w:t xml:space="preserve"> 2000;</w:t>
      </w:r>
      <w:r w:rsidRPr="008329FE">
        <w:rPr>
          <w:i/>
          <w:iCs/>
        </w:rPr>
        <w:t xml:space="preserve"> </w:t>
      </w:r>
      <w:r w:rsidRPr="008329FE">
        <w:rPr>
          <w:b/>
          <w:bCs/>
        </w:rPr>
        <w:t>9</w:t>
      </w:r>
      <w:r w:rsidRPr="008329FE">
        <w:t>(sup 1):721-731.</w:t>
      </w:r>
    </w:p>
    <w:p w:rsidR="00676448" w:rsidRPr="008329FE" w:rsidRDefault="00676448" w:rsidP="005B1D21">
      <w:pPr>
        <w:pStyle w:val="ListParagraph"/>
        <w:numPr>
          <w:ilvl w:val="0"/>
          <w:numId w:val="13"/>
        </w:numPr>
        <w:spacing w:after="60" w:line="480" w:lineRule="auto"/>
        <w:ind w:left="363"/>
        <w:jc w:val="both"/>
      </w:pPr>
      <w:proofErr w:type="spellStart"/>
      <w:r w:rsidRPr="008329FE">
        <w:t>Bankowski</w:t>
      </w:r>
      <w:proofErr w:type="spellEnd"/>
      <w:r w:rsidRPr="008329FE">
        <w:t xml:space="preserve"> BJ, </w:t>
      </w:r>
      <w:proofErr w:type="spellStart"/>
      <w:r w:rsidRPr="008329FE">
        <w:t>Gallicchio</w:t>
      </w:r>
      <w:proofErr w:type="spellEnd"/>
      <w:r w:rsidRPr="008329FE">
        <w:t xml:space="preserve"> LM, Whiteman MK, Lewis LM, </w:t>
      </w:r>
      <w:proofErr w:type="spellStart"/>
      <w:r w:rsidRPr="008329FE">
        <w:t>Zacur</w:t>
      </w:r>
      <w:proofErr w:type="spellEnd"/>
      <w:r w:rsidRPr="008329FE">
        <w:t xml:space="preserve"> HA, Flaws JA. The association between menopausal symptoms and quality of life in midlife women. </w:t>
      </w:r>
      <w:proofErr w:type="spellStart"/>
      <w:r w:rsidRPr="008329FE">
        <w:rPr>
          <w:i/>
          <w:iCs/>
        </w:rPr>
        <w:t>Fertil</w:t>
      </w:r>
      <w:proofErr w:type="spellEnd"/>
      <w:r w:rsidRPr="008329FE">
        <w:rPr>
          <w:i/>
          <w:iCs/>
        </w:rPr>
        <w:t xml:space="preserve"> </w:t>
      </w:r>
      <w:proofErr w:type="spellStart"/>
      <w:r w:rsidRPr="008329FE">
        <w:rPr>
          <w:i/>
          <w:iCs/>
        </w:rPr>
        <w:t>Steril</w:t>
      </w:r>
      <w:proofErr w:type="spellEnd"/>
      <w:r w:rsidRPr="008329FE">
        <w:rPr>
          <w:i/>
          <w:iCs/>
        </w:rPr>
        <w:t xml:space="preserve"> </w:t>
      </w:r>
      <w:r w:rsidRPr="008329FE">
        <w:t>2006;</w:t>
      </w:r>
      <w:r w:rsidRPr="008329FE">
        <w:rPr>
          <w:i/>
          <w:iCs/>
        </w:rPr>
        <w:t xml:space="preserve"> </w:t>
      </w:r>
      <w:r w:rsidRPr="008329FE">
        <w:rPr>
          <w:b/>
          <w:bCs/>
        </w:rPr>
        <w:t>86</w:t>
      </w:r>
      <w:r w:rsidRPr="008329FE">
        <w:t>(4):1006-1008.</w:t>
      </w:r>
    </w:p>
    <w:p w:rsidR="00676448" w:rsidRPr="008329FE" w:rsidRDefault="00676448" w:rsidP="005B1D21">
      <w:pPr>
        <w:pStyle w:val="ListParagraph"/>
        <w:numPr>
          <w:ilvl w:val="0"/>
          <w:numId w:val="13"/>
        </w:numPr>
        <w:spacing w:after="60" w:line="480" w:lineRule="auto"/>
        <w:ind w:left="363"/>
        <w:jc w:val="both"/>
      </w:pPr>
      <w:r w:rsidRPr="008329FE">
        <w:t xml:space="preserve">Huang AJ, Moore EE, </w:t>
      </w:r>
      <w:proofErr w:type="spellStart"/>
      <w:r w:rsidRPr="008329FE">
        <w:t>Boyko</w:t>
      </w:r>
      <w:proofErr w:type="spellEnd"/>
      <w:r w:rsidRPr="008329FE">
        <w:t xml:space="preserve"> EJ et al. Vaginal symptoms in postmenopausal women: self-reported severity, natural history, and risk factors. </w:t>
      </w:r>
      <w:r w:rsidRPr="008329FE">
        <w:rPr>
          <w:i/>
          <w:iCs/>
        </w:rPr>
        <w:t>Menopause</w:t>
      </w:r>
      <w:r w:rsidRPr="008329FE">
        <w:t xml:space="preserve"> 2010; </w:t>
      </w:r>
      <w:r w:rsidRPr="008329FE">
        <w:rPr>
          <w:b/>
          <w:bCs/>
        </w:rPr>
        <w:t>17</w:t>
      </w:r>
      <w:r w:rsidRPr="008329FE">
        <w:t>(1):121-126.</w:t>
      </w:r>
    </w:p>
    <w:p w:rsidR="00676448" w:rsidRPr="008329FE" w:rsidRDefault="00676448" w:rsidP="00A078D5"/>
    <w:p w:rsidR="00676448" w:rsidRPr="00A76ACB" w:rsidRDefault="00676448" w:rsidP="00A76ACB">
      <w:pPr>
        <w:spacing w:line="360" w:lineRule="auto"/>
        <w:jc w:val="both"/>
        <w:rPr>
          <w:b/>
          <w:bCs/>
        </w:rPr>
      </w:pPr>
      <w:r>
        <w:br w:type="page"/>
      </w:r>
      <w:proofErr w:type="gramStart"/>
      <w:r w:rsidRPr="00A76ACB">
        <w:rPr>
          <w:b/>
          <w:bCs/>
          <w:color w:val="0000FF"/>
        </w:rPr>
        <w:lastRenderedPageBreak/>
        <w:t>Table 1</w:t>
      </w:r>
      <w:r w:rsidRPr="00A76ACB">
        <w:rPr>
          <w:b/>
          <w:bCs/>
          <w:color w:val="3366FF"/>
        </w:rPr>
        <w:t>.</w:t>
      </w:r>
      <w:proofErr w:type="gramEnd"/>
      <w:r w:rsidRPr="00A76ACB">
        <w:rPr>
          <w:b/>
          <w:bCs/>
        </w:rPr>
        <w:t xml:space="preserve"> Socio-demographic characteristics of respondents</w:t>
      </w:r>
    </w:p>
    <w:tbl>
      <w:tblPr>
        <w:tblpPr w:leftFromText="180" w:rightFromText="180" w:vertAnchor="page" w:horzAnchor="margin" w:tblpY="1981"/>
        <w:tblW w:w="3557" w:type="pct"/>
        <w:tblLayout w:type="fixed"/>
        <w:tblLook w:val="01E0"/>
      </w:tblPr>
      <w:tblGrid>
        <w:gridCol w:w="4731"/>
        <w:gridCol w:w="72"/>
        <w:gridCol w:w="782"/>
        <w:gridCol w:w="67"/>
        <w:gridCol w:w="864"/>
        <w:gridCol w:w="59"/>
      </w:tblGrid>
      <w:tr w:rsidR="00676448" w:rsidRPr="00182CAE">
        <w:trPr>
          <w:gridAfter w:val="1"/>
          <w:wAfter w:w="45" w:type="pct"/>
          <w:trHeight w:val="454"/>
        </w:trPr>
        <w:tc>
          <w:tcPr>
            <w:tcW w:w="3652" w:type="pct"/>
            <w:gridSpan w:val="2"/>
            <w:tcBorders>
              <w:top w:val="single" w:sz="12" w:space="0" w:color="auto"/>
              <w:bottom w:val="single" w:sz="4" w:space="0" w:color="auto"/>
            </w:tcBorders>
            <w:vAlign w:val="center"/>
          </w:tcPr>
          <w:p w:rsidR="00676448" w:rsidRPr="00182CAE" w:rsidRDefault="00676448" w:rsidP="00E61CAB">
            <w:pPr>
              <w:rPr>
                <w:b/>
                <w:bCs/>
              </w:rPr>
            </w:pPr>
            <w:r w:rsidRPr="00182CAE">
              <w:rPr>
                <w:b/>
                <w:bCs/>
              </w:rPr>
              <w:t>Characteristic</w:t>
            </w:r>
          </w:p>
        </w:tc>
        <w:tc>
          <w:tcPr>
            <w:tcW w:w="595" w:type="pct"/>
            <w:tcBorders>
              <w:top w:val="single" w:sz="12" w:space="0" w:color="auto"/>
              <w:bottom w:val="single" w:sz="4" w:space="0" w:color="auto"/>
            </w:tcBorders>
            <w:vAlign w:val="center"/>
          </w:tcPr>
          <w:p w:rsidR="00676448" w:rsidRPr="00182CAE" w:rsidRDefault="00676448" w:rsidP="00E61CAB">
            <w:pPr>
              <w:jc w:val="center"/>
              <w:rPr>
                <w:b/>
                <w:bCs/>
              </w:rPr>
            </w:pPr>
            <w:r w:rsidRPr="00182CAE">
              <w:rPr>
                <w:b/>
                <w:bCs/>
              </w:rPr>
              <w:t>n</w:t>
            </w:r>
          </w:p>
        </w:tc>
        <w:tc>
          <w:tcPr>
            <w:tcW w:w="708" w:type="pct"/>
            <w:gridSpan w:val="2"/>
            <w:tcBorders>
              <w:top w:val="single" w:sz="12" w:space="0" w:color="auto"/>
              <w:bottom w:val="single" w:sz="4" w:space="0" w:color="auto"/>
            </w:tcBorders>
            <w:vAlign w:val="center"/>
          </w:tcPr>
          <w:p w:rsidR="00676448" w:rsidRPr="00182CAE" w:rsidRDefault="00676448" w:rsidP="00E61CAB">
            <w:pPr>
              <w:jc w:val="center"/>
            </w:pPr>
            <w:r w:rsidRPr="00182CAE">
              <w:rPr>
                <w:b/>
                <w:bCs/>
              </w:rPr>
              <w:t>(%)</w:t>
            </w:r>
            <w:r w:rsidRPr="00182CAE">
              <w:rPr>
                <w:rStyle w:val="FootnoteReference"/>
                <w:b/>
                <w:bCs/>
              </w:rPr>
              <w:footnoteReference w:id="1"/>
            </w:r>
          </w:p>
        </w:tc>
      </w:tr>
      <w:tr w:rsidR="00676448" w:rsidRPr="00182CAE">
        <w:trPr>
          <w:gridAfter w:val="1"/>
          <w:wAfter w:w="45" w:type="pct"/>
          <w:trHeight w:val="340"/>
        </w:trPr>
        <w:tc>
          <w:tcPr>
            <w:tcW w:w="3652" w:type="pct"/>
            <w:gridSpan w:val="2"/>
            <w:vAlign w:val="center"/>
          </w:tcPr>
          <w:p w:rsidR="00676448" w:rsidRPr="00DC0CBC" w:rsidRDefault="00676448" w:rsidP="00E61CAB">
            <w:r w:rsidRPr="00DC0CBC">
              <w:rPr>
                <w:sz w:val="22"/>
                <w:szCs w:val="22"/>
              </w:rPr>
              <w:t>Age (N = 4407)</w:t>
            </w:r>
          </w:p>
        </w:tc>
        <w:tc>
          <w:tcPr>
            <w:tcW w:w="595" w:type="pct"/>
            <w:vAlign w:val="center"/>
          </w:tcPr>
          <w:p w:rsidR="00676448" w:rsidRPr="00DC0CBC" w:rsidRDefault="00676448" w:rsidP="00E61CAB">
            <w:pPr>
              <w:jc w:val="center"/>
            </w:pPr>
            <w:r w:rsidRPr="00DC0CBC">
              <w:rPr>
                <w:sz w:val="22"/>
                <w:szCs w:val="22"/>
              </w:rPr>
              <w:t xml:space="preserve"> </w:t>
            </w:r>
          </w:p>
        </w:tc>
        <w:tc>
          <w:tcPr>
            <w:tcW w:w="708" w:type="pct"/>
            <w:gridSpan w:val="2"/>
            <w:vAlign w:val="center"/>
          </w:tcPr>
          <w:p w:rsidR="00676448" w:rsidRPr="00DC0CBC" w:rsidRDefault="00676448" w:rsidP="00E61CAB">
            <w:pPr>
              <w:ind w:right="791"/>
              <w:jc w:val="right"/>
            </w:pPr>
          </w:p>
        </w:tc>
      </w:tr>
      <w:tr w:rsidR="00676448" w:rsidRPr="00182CAE">
        <w:trPr>
          <w:gridAfter w:val="1"/>
          <w:wAfter w:w="45" w:type="pct"/>
          <w:trHeight w:val="340"/>
        </w:trPr>
        <w:tc>
          <w:tcPr>
            <w:tcW w:w="3652" w:type="pct"/>
            <w:gridSpan w:val="2"/>
            <w:vAlign w:val="center"/>
          </w:tcPr>
          <w:p w:rsidR="00676448" w:rsidRPr="00DC0CBC" w:rsidRDefault="00676448" w:rsidP="00E61CAB">
            <w:pPr>
              <w:ind w:left="360"/>
            </w:pPr>
            <w:r w:rsidRPr="00DC0CBC">
              <w:rPr>
                <w:sz w:val="22"/>
                <w:szCs w:val="22"/>
              </w:rPr>
              <w:t>45</w:t>
            </w:r>
          </w:p>
        </w:tc>
        <w:tc>
          <w:tcPr>
            <w:tcW w:w="595" w:type="pct"/>
            <w:vAlign w:val="center"/>
          </w:tcPr>
          <w:p w:rsidR="00676448" w:rsidRPr="00DC0CBC" w:rsidRDefault="00676448" w:rsidP="00E61CAB">
            <w:pPr>
              <w:jc w:val="center"/>
            </w:pPr>
            <w:r w:rsidRPr="00DC0CBC">
              <w:rPr>
                <w:sz w:val="22"/>
                <w:szCs w:val="22"/>
              </w:rPr>
              <w:t>400</w:t>
            </w:r>
          </w:p>
        </w:tc>
        <w:tc>
          <w:tcPr>
            <w:tcW w:w="708" w:type="pct"/>
            <w:gridSpan w:val="2"/>
            <w:vAlign w:val="center"/>
          </w:tcPr>
          <w:p w:rsidR="00676448" w:rsidRPr="00DC0CBC" w:rsidRDefault="00676448" w:rsidP="00E61CAB">
            <w:pPr>
              <w:jc w:val="center"/>
            </w:pPr>
            <w:r w:rsidRPr="00DC0CBC">
              <w:rPr>
                <w:sz w:val="22"/>
                <w:szCs w:val="22"/>
              </w:rPr>
              <w:t>(9.1)</w:t>
            </w:r>
          </w:p>
        </w:tc>
      </w:tr>
      <w:tr w:rsidR="00676448" w:rsidRPr="00182CAE">
        <w:trPr>
          <w:gridAfter w:val="1"/>
          <w:wAfter w:w="45" w:type="pct"/>
          <w:trHeight w:val="340"/>
        </w:trPr>
        <w:tc>
          <w:tcPr>
            <w:tcW w:w="3652" w:type="pct"/>
            <w:gridSpan w:val="2"/>
            <w:vAlign w:val="center"/>
          </w:tcPr>
          <w:p w:rsidR="00676448" w:rsidRPr="00DC0CBC" w:rsidRDefault="00676448" w:rsidP="00E61CAB">
            <w:r w:rsidRPr="00DC0CBC">
              <w:rPr>
                <w:sz w:val="22"/>
                <w:szCs w:val="22"/>
              </w:rPr>
              <w:t xml:space="preserve">      46</w:t>
            </w:r>
          </w:p>
        </w:tc>
        <w:tc>
          <w:tcPr>
            <w:tcW w:w="595" w:type="pct"/>
            <w:vAlign w:val="center"/>
          </w:tcPr>
          <w:p w:rsidR="00676448" w:rsidRPr="00DC0CBC" w:rsidRDefault="00676448" w:rsidP="00E61CAB">
            <w:pPr>
              <w:jc w:val="center"/>
            </w:pPr>
            <w:r w:rsidRPr="00DC0CBC">
              <w:rPr>
                <w:sz w:val="22"/>
                <w:szCs w:val="22"/>
              </w:rPr>
              <w:t>496</w:t>
            </w:r>
          </w:p>
        </w:tc>
        <w:tc>
          <w:tcPr>
            <w:tcW w:w="708" w:type="pct"/>
            <w:gridSpan w:val="2"/>
            <w:vAlign w:val="center"/>
          </w:tcPr>
          <w:p w:rsidR="00676448" w:rsidRPr="00DC0CBC" w:rsidRDefault="00676448" w:rsidP="00E61CAB">
            <w:pPr>
              <w:jc w:val="center"/>
            </w:pPr>
            <w:r w:rsidRPr="00DC0CBC">
              <w:rPr>
                <w:sz w:val="22"/>
                <w:szCs w:val="22"/>
              </w:rPr>
              <w:t>(11.3)</w:t>
            </w:r>
          </w:p>
        </w:tc>
      </w:tr>
      <w:tr w:rsidR="00676448" w:rsidRPr="00182CAE">
        <w:trPr>
          <w:gridAfter w:val="1"/>
          <w:wAfter w:w="45" w:type="pct"/>
          <w:trHeight w:val="340"/>
        </w:trPr>
        <w:tc>
          <w:tcPr>
            <w:tcW w:w="3652" w:type="pct"/>
            <w:gridSpan w:val="2"/>
            <w:vAlign w:val="center"/>
          </w:tcPr>
          <w:p w:rsidR="00676448" w:rsidRPr="00DC0CBC" w:rsidRDefault="00676448" w:rsidP="00E61CAB">
            <w:pPr>
              <w:ind w:left="360"/>
            </w:pPr>
            <w:r w:rsidRPr="00DC0CBC">
              <w:rPr>
                <w:sz w:val="22"/>
                <w:szCs w:val="22"/>
              </w:rPr>
              <w:t>47</w:t>
            </w:r>
          </w:p>
        </w:tc>
        <w:tc>
          <w:tcPr>
            <w:tcW w:w="595" w:type="pct"/>
            <w:vAlign w:val="center"/>
          </w:tcPr>
          <w:p w:rsidR="00676448" w:rsidRPr="00DC0CBC" w:rsidRDefault="00676448" w:rsidP="00E61CAB">
            <w:pPr>
              <w:jc w:val="center"/>
            </w:pPr>
            <w:r w:rsidRPr="00DC0CBC">
              <w:rPr>
                <w:sz w:val="22"/>
                <w:szCs w:val="22"/>
              </w:rPr>
              <w:t>464</w:t>
            </w:r>
          </w:p>
        </w:tc>
        <w:tc>
          <w:tcPr>
            <w:tcW w:w="708" w:type="pct"/>
            <w:gridSpan w:val="2"/>
            <w:vAlign w:val="center"/>
          </w:tcPr>
          <w:p w:rsidR="00676448" w:rsidRPr="00DC0CBC" w:rsidRDefault="00676448" w:rsidP="00E61CAB">
            <w:pPr>
              <w:jc w:val="center"/>
            </w:pPr>
            <w:r w:rsidRPr="00DC0CBC">
              <w:rPr>
                <w:sz w:val="22"/>
                <w:szCs w:val="22"/>
              </w:rPr>
              <w:t>(10.5)</w:t>
            </w:r>
          </w:p>
        </w:tc>
      </w:tr>
      <w:tr w:rsidR="00676448" w:rsidRPr="00182CAE">
        <w:trPr>
          <w:gridAfter w:val="1"/>
          <w:wAfter w:w="45" w:type="pct"/>
          <w:trHeight w:val="340"/>
        </w:trPr>
        <w:tc>
          <w:tcPr>
            <w:tcW w:w="3652" w:type="pct"/>
            <w:gridSpan w:val="2"/>
            <w:vAlign w:val="center"/>
          </w:tcPr>
          <w:p w:rsidR="00676448" w:rsidRPr="00DC0CBC" w:rsidRDefault="00676448" w:rsidP="00E61CAB">
            <w:pPr>
              <w:ind w:left="360"/>
            </w:pPr>
            <w:r w:rsidRPr="00DC0CBC">
              <w:rPr>
                <w:sz w:val="22"/>
                <w:szCs w:val="22"/>
              </w:rPr>
              <w:t>48</w:t>
            </w:r>
          </w:p>
        </w:tc>
        <w:tc>
          <w:tcPr>
            <w:tcW w:w="595" w:type="pct"/>
            <w:vAlign w:val="center"/>
          </w:tcPr>
          <w:p w:rsidR="00676448" w:rsidRPr="00DC0CBC" w:rsidRDefault="00676448" w:rsidP="00E61CAB">
            <w:pPr>
              <w:jc w:val="center"/>
            </w:pPr>
            <w:r w:rsidRPr="00DC0CBC">
              <w:rPr>
                <w:sz w:val="22"/>
                <w:szCs w:val="22"/>
              </w:rPr>
              <w:t>464</w:t>
            </w:r>
          </w:p>
        </w:tc>
        <w:tc>
          <w:tcPr>
            <w:tcW w:w="708" w:type="pct"/>
            <w:gridSpan w:val="2"/>
            <w:vAlign w:val="center"/>
          </w:tcPr>
          <w:p w:rsidR="00676448" w:rsidRPr="00DC0CBC" w:rsidRDefault="00676448" w:rsidP="00E61CAB">
            <w:pPr>
              <w:jc w:val="center"/>
            </w:pPr>
            <w:r w:rsidRPr="00DC0CBC">
              <w:rPr>
                <w:sz w:val="22"/>
                <w:szCs w:val="22"/>
              </w:rPr>
              <w:t>(10.5)</w:t>
            </w:r>
          </w:p>
        </w:tc>
      </w:tr>
      <w:tr w:rsidR="00676448" w:rsidRPr="00182CAE">
        <w:trPr>
          <w:gridAfter w:val="1"/>
          <w:wAfter w:w="45" w:type="pct"/>
          <w:trHeight w:val="340"/>
        </w:trPr>
        <w:tc>
          <w:tcPr>
            <w:tcW w:w="3652" w:type="pct"/>
            <w:gridSpan w:val="2"/>
            <w:vAlign w:val="center"/>
          </w:tcPr>
          <w:p w:rsidR="00676448" w:rsidRPr="00DC0CBC" w:rsidRDefault="00676448" w:rsidP="00E61CAB">
            <w:pPr>
              <w:ind w:left="360"/>
            </w:pPr>
            <w:r w:rsidRPr="00DC0CBC">
              <w:rPr>
                <w:sz w:val="22"/>
                <w:szCs w:val="22"/>
              </w:rPr>
              <w:t>49</w:t>
            </w:r>
          </w:p>
        </w:tc>
        <w:tc>
          <w:tcPr>
            <w:tcW w:w="595" w:type="pct"/>
            <w:vAlign w:val="center"/>
          </w:tcPr>
          <w:p w:rsidR="00676448" w:rsidRPr="00DC0CBC" w:rsidRDefault="00676448" w:rsidP="00E61CAB">
            <w:pPr>
              <w:jc w:val="center"/>
            </w:pPr>
            <w:r w:rsidRPr="00DC0CBC">
              <w:rPr>
                <w:sz w:val="22"/>
                <w:szCs w:val="22"/>
              </w:rPr>
              <w:t>463</w:t>
            </w:r>
          </w:p>
        </w:tc>
        <w:tc>
          <w:tcPr>
            <w:tcW w:w="708" w:type="pct"/>
            <w:gridSpan w:val="2"/>
            <w:vAlign w:val="center"/>
          </w:tcPr>
          <w:p w:rsidR="00676448" w:rsidRPr="00DC0CBC" w:rsidRDefault="00676448" w:rsidP="00E61CAB">
            <w:pPr>
              <w:jc w:val="center"/>
            </w:pPr>
            <w:r w:rsidRPr="00DC0CBC">
              <w:rPr>
                <w:sz w:val="22"/>
                <w:szCs w:val="22"/>
              </w:rPr>
              <w:t>(10.5)</w:t>
            </w:r>
          </w:p>
        </w:tc>
      </w:tr>
      <w:tr w:rsidR="00676448" w:rsidRPr="00182CAE">
        <w:trPr>
          <w:gridAfter w:val="1"/>
          <w:wAfter w:w="45" w:type="pct"/>
          <w:trHeight w:val="340"/>
        </w:trPr>
        <w:tc>
          <w:tcPr>
            <w:tcW w:w="3652" w:type="pct"/>
            <w:gridSpan w:val="2"/>
            <w:vAlign w:val="center"/>
          </w:tcPr>
          <w:p w:rsidR="00676448" w:rsidRPr="00DC0CBC" w:rsidRDefault="00676448" w:rsidP="00E61CAB">
            <w:pPr>
              <w:ind w:left="360"/>
            </w:pPr>
            <w:r w:rsidRPr="00DC0CBC">
              <w:rPr>
                <w:sz w:val="22"/>
                <w:szCs w:val="22"/>
              </w:rPr>
              <w:t>50</w:t>
            </w:r>
          </w:p>
        </w:tc>
        <w:tc>
          <w:tcPr>
            <w:tcW w:w="595" w:type="pct"/>
            <w:vAlign w:val="center"/>
          </w:tcPr>
          <w:p w:rsidR="00676448" w:rsidRPr="00DC0CBC" w:rsidRDefault="00676448" w:rsidP="00E61CAB">
            <w:pPr>
              <w:jc w:val="center"/>
            </w:pPr>
            <w:r w:rsidRPr="00DC0CBC">
              <w:rPr>
                <w:sz w:val="22"/>
                <w:szCs w:val="22"/>
              </w:rPr>
              <w:t>511</w:t>
            </w:r>
          </w:p>
        </w:tc>
        <w:tc>
          <w:tcPr>
            <w:tcW w:w="708" w:type="pct"/>
            <w:gridSpan w:val="2"/>
            <w:vAlign w:val="center"/>
          </w:tcPr>
          <w:p w:rsidR="00676448" w:rsidRPr="00DC0CBC" w:rsidRDefault="00676448" w:rsidP="00E61CAB">
            <w:pPr>
              <w:jc w:val="center"/>
            </w:pPr>
            <w:r w:rsidRPr="00DC0CBC">
              <w:rPr>
                <w:sz w:val="22"/>
                <w:szCs w:val="22"/>
              </w:rPr>
              <w:t>(11.6)</w:t>
            </w:r>
          </w:p>
        </w:tc>
      </w:tr>
      <w:tr w:rsidR="00676448" w:rsidRPr="00182CAE">
        <w:trPr>
          <w:gridAfter w:val="1"/>
          <w:wAfter w:w="45" w:type="pct"/>
          <w:trHeight w:val="340"/>
        </w:trPr>
        <w:tc>
          <w:tcPr>
            <w:tcW w:w="3652" w:type="pct"/>
            <w:gridSpan w:val="2"/>
            <w:vAlign w:val="center"/>
          </w:tcPr>
          <w:p w:rsidR="00676448" w:rsidRPr="00DC0CBC" w:rsidRDefault="00676448" w:rsidP="00E61CAB">
            <w:pPr>
              <w:ind w:left="360"/>
            </w:pPr>
            <w:r w:rsidRPr="00DC0CBC">
              <w:rPr>
                <w:sz w:val="22"/>
                <w:szCs w:val="22"/>
              </w:rPr>
              <w:t>51</w:t>
            </w:r>
          </w:p>
        </w:tc>
        <w:tc>
          <w:tcPr>
            <w:tcW w:w="595" w:type="pct"/>
            <w:vAlign w:val="center"/>
          </w:tcPr>
          <w:p w:rsidR="00676448" w:rsidRPr="00DC0CBC" w:rsidRDefault="00676448" w:rsidP="00E61CAB">
            <w:pPr>
              <w:jc w:val="center"/>
            </w:pPr>
            <w:r w:rsidRPr="00DC0CBC">
              <w:rPr>
                <w:sz w:val="22"/>
                <w:szCs w:val="22"/>
              </w:rPr>
              <w:t>497</w:t>
            </w:r>
          </w:p>
        </w:tc>
        <w:tc>
          <w:tcPr>
            <w:tcW w:w="708" w:type="pct"/>
            <w:gridSpan w:val="2"/>
            <w:vAlign w:val="center"/>
          </w:tcPr>
          <w:p w:rsidR="00676448" w:rsidRPr="00DC0CBC" w:rsidRDefault="00676448" w:rsidP="00E61CAB">
            <w:pPr>
              <w:jc w:val="center"/>
            </w:pPr>
            <w:r w:rsidRPr="00DC0CBC">
              <w:rPr>
                <w:sz w:val="22"/>
                <w:szCs w:val="22"/>
              </w:rPr>
              <w:t>(11.2)</w:t>
            </w:r>
          </w:p>
        </w:tc>
      </w:tr>
      <w:tr w:rsidR="00676448" w:rsidRPr="00182CAE">
        <w:trPr>
          <w:gridAfter w:val="1"/>
          <w:wAfter w:w="45" w:type="pct"/>
          <w:trHeight w:val="340"/>
        </w:trPr>
        <w:tc>
          <w:tcPr>
            <w:tcW w:w="3652" w:type="pct"/>
            <w:gridSpan w:val="2"/>
            <w:vAlign w:val="center"/>
          </w:tcPr>
          <w:p w:rsidR="00676448" w:rsidRPr="00DC0CBC" w:rsidRDefault="00676448" w:rsidP="00E61CAB">
            <w:pPr>
              <w:ind w:left="360"/>
            </w:pPr>
            <w:r w:rsidRPr="00DC0CBC">
              <w:rPr>
                <w:sz w:val="22"/>
                <w:szCs w:val="22"/>
              </w:rPr>
              <w:t>52</w:t>
            </w:r>
          </w:p>
        </w:tc>
        <w:tc>
          <w:tcPr>
            <w:tcW w:w="595" w:type="pct"/>
            <w:vAlign w:val="center"/>
          </w:tcPr>
          <w:p w:rsidR="00676448" w:rsidRPr="00DC0CBC" w:rsidRDefault="00676448" w:rsidP="00E61CAB">
            <w:pPr>
              <w:jc w:val="center"/>
            </w:pPr>
            <w:r w:rsidRPr="00DC0CBC">
              <w:rPr>
                <w:sz w:val="22"/>
                <w:szCs w:val="22"/>
              </w:rPr>
              <w:t>501</w:t>
            </w:r>
          </w:p>
        </w:tc>
        <w:tc>
          <w:tcPr>
            <w:tcW w:w="708" w:type="pct"/>
            <w:gridSpan w:val="2"/>
            <w:vAlign w:val="center"/>
          </w:tcPr>
          <w:p w:rsidR="00676448" w:rsidRPr="00DC0CBC" w:rsidRDefault="00676448" w:rsidP="00E61CAB">
            <w:pPr>
              <w:jc w:val="center"/>
            </w:pPr>
            <w:r w:rsidRPr="00DC0CBC">
              <w:rPr>
                <w:sz w:val="22"/>
                <w:szCs w:val="22"/>
              </w:rPr>
              <w:t>(11.4)</w:t>
            </w:r>
          </w:p>
        </w:tc>
      </w:tr>
      <w:tr w:rsidR="00676448" w:rsidRPr="00182CAE">
        <w:trPr>
          <w:gridAfter w:val="1"/>
          <w:wAfter w:w="45" w:type="pct"/>
          <w:trHeight w:val="340"/>
        </w:trPr>
        <w:tc>
          <w:tcPr>
            <w:tcW w:w="3652" w:type="pct"/>
            <w:gridSpan w:val="2"/>
            <w:vAlign w:val="center"/>
          </w:tcPr>
          <w:p w:rsidR="00676448" w:rsidRPr="00DC0CBC" w:rsidRDefault="00676448" w:rsidP="00E61CAB">
            <w:pPr>
              <w:ind w:left="360"/>
            </w:pPr>
            <w:r w:rsidRPr="00DC0CBC">
              <w:rPr>
                <w:sz w:val="22"/>
                <w:szCs w:val="22"/>
              </w:rPr>
              <w:t>53</w:t>
            </w:r>
          </w:p>
        </w:tc>
        <w:tc>
          <w:tcPr>
            <w:tcW w:w="595" w:type="pct"/>
            <w:vAlign w:val="center"/>
          </w:tcPr>
          <w:p w:rsidR="00676448" w:rsidRPr="00DC0CBC" w:rsidRDefault="00676448" w:rsidP="00E61CAB">
            <w:pPr>
              <w:jc w:val="center"/>
            </w:pPr>
            <w:r w:rsidRPr="00DC0CBC">
              <w:rPr>
                <w:sz w:val="22"/>
                <w:szCs w:val="22"/>
              </w:rPr>
              <w:t>474</w:t>
            </w:r>
          </w:p>
        </w:tc>
        <w:tc>
          <w:tcPr>
            <w:tcW w:w="708" w:type="pct"/>
            <w:gridSpan w:val="2"/>
            <w:vAlign w:val="center"/>
          </w:tcPr>
          <w:p w:rsidR="00676448" w:rsidRPr="00DC0CBC" w:rsidRDefault="00676448" w:rsidP="00E61CAB">
            <w:pPr>
              <w:jc w:val="center"/>
            </w:pPr>
            <w:r w:rsidRPr="00DC0CBC">
              <w:rPr>
                <w:sz w:val="22"/>
                <w:szCs w:val="22"/>
              </w:rPr>
              <w:t>(10.8)</w:t>
            </w:r>
          </w:p>
        </w:tc>
      </w:tr>
      <w:tr w:rsidR="00676448" w:rsidRPr="00182CAE">
        <w:trPr>
          <w:gridAfter w:val="1"/>
          <w:wAfter w:w="45" w:type="pct"/>
          <w:trHeight w:val="340"/>
        </w:trPr>
        <w:tc>
          <w:tcPr>
            <w:tcW w:w="3652" w:type="pct"/>
            <w:gridSpan w:val="2"/>
            <w:vAlign w:val="center"/>
          </w:tcPr>
          <w:p w:rsidR="00676448" w:rsidRPr="00DC0CBC" w:rsidRDefault="00676448" w:rsidP="00E61CAB">
            <w:pPr>
              <w:ind w:left="360"/>
            </w:pPr>
            <w:r w:rsidRPr="00DC0CBC">
              <w:rPr>
                <w:sz w:val="22"/>
                <w:szCs w:val="22"/>
              </w:rPr>
              <w:t>54</w:t>
            </w:r>
          </w:p>
        </w:tc>
        <w:tc>
          <w:tcPr>
            <w:tcW w:w="595" w:type="pct"/>
            <w:vAlign w:val="center"/>
          </w:tcPr>
          <w:p w:rsidR="00676448" w:rsidRPr="00DC0CBC" w:rsidRDefault="00676448" w:rsidP="00E61CAB">
            <w:pPr>
              <w:jc w:val="center"/>
            </w:pPr>
            <w:r w:rsidRPr="00DC0CBC">
              <w:rPr>
                <w:sz w:val="22"/>
                <w:szCs w:val="22"/>
              </w:rPr>
              <w:t>137</w:t>
            </w:r>
          </w:p>
        </w:tc>
        <w:tc>
          <w:tcPr>
            <w:tcW w:w="708" w:type="pct"/>
            <w:gridSpan w:val="2"/>
            <w:vAlign w:val="center"/>
          </w:tcPr>
          <w:p w:rsidR="00676448" w:rsidRPr="00DC0CBC" w:rsidRDefault="00676448" w:rsidP="00E61CAB">
            <w:pPr>
              <w:jc w:val="center"/>
            </w:pPr>
            <w:r w:rsidRPr="00DC0CBC">
              <w:rPr>
                <w:sz w:val="22"/>
                <w:szCs w:val="22"/>
              </w:rPr>
              <w:t>(3.1)</w:t>
            </w:r>
          </w:p>
        </w:tc>
      </w:tr>
      <w:tr w:rsidR="00676448" w:rsidRPr="00182CAE">
        <w:trPr>
          <w:gridAfter w:val="1"/>
          <w:wAfter w:w="45" w:type="pct"/>
          <w:trHeight w:val="340"/>
        </w:trPr>
        <w:tc>
          <w:tcPr>
            <w:tcW w:w="3652" w:type="pct"/>
            <w:gridSpan w:val="2"/>
            <w:vAlign w:val="center"/>
          </w:tcPr>
          <w:p w:rsidR="00676448" w:rsidRPr="00DC0CBC" w:rsidRDefault="00676448" w:rsidP="00E61CAB">
            <w:pPr>
              <w:ind w:left="360"/>
            </w:pPr>
          </w:p>
        </w:tc>
        <w:tc>
          <w:tcPr>
            <w:tcW w:w="595" w:type="pct"/>
            <w:vAlign w:val="center"/>
          </w:tcPr>
          <w:p w:rsidR="00676448" w:rsidRPr="00DC0CBC" w:rsidRDefault="00676448" w:rsidP="00E61CAB">
            <w:pPr>
              <w:jc w:val="center"/>
            </w:pPr>
          </w:p>
        </w:tc>
        <w:tc>
          <w:tcPr>
            <w:tcW w:w="708" w:type="pct"/>
            <w:gridSpan w:val="2"/>
            <w:vAlign w:val="center"/>
          </w:tcPr>
          <w:p w:rsidR="00676448" w:rsidRPr="00DC0CBC" w:rsidRDefault="00676448" w:rsidP="00E61CAB">
            <w:pPr>
              <w:ind w:right="791"/>
              <w:jc w:val="center"/>
            </w:pPr>
          </w:p>
        </w:tc>
      </w:tr>
      <w:tr w:rsidR="00676448" w:rsidRPr="00182CAE">
        <w:trPr>
          <w:gridAfter w:val="1"/>
          <w:wAfter w:w="45" w:type="pct"/>
          <w:trHeight w:val="340"/>
        </w:trPr>
        <w:tc>
          <w:tcPr>
            <w:tcW w:w="3652" w:type="pct"/>
            <w:gridSpan w:val="2"/>
            <w:vAlign w:val="center"/>
          </w:tcPr>
          <w:p w:rsidR="00676448" w:rsidRPr="00DC0CBC" w:rsidRDefault="00676448" w:rsidP="00FC70A8">
            <w:r w:rsidRPr="00DC0CBC">
              <w:rPr>
                <w:sz w:val="22"/>
                <w:szCs w:val="22"/>
              </w:rPr>
              <w:t>Number of pregnancies (N = 4217)</w:t>
            </w:r>
          </w:p>
        </w:tc>
        <w:tc>
          <w:tcPr>
            <w:tcW w:w="595" w:type="pct"/>
            <w:vAlign w:val="center"/>
          </w:tcPr>
          <w:p w:rsidR="00676448" w:rsidRPr="00DC0CBC" w:rsidRDefault="00676448" w:rsidP="00FC70A8">
            <w:pPr>
              <w:jc w:val="center"/>
            </w:pPr>
          </w:p>
        </w:tc>
        <w:tc>
          <w:tcPr>
            <w:tcW w:w="708" w:type="pct"/>
            <w:gridSpan w:val="2"/>
            <w:vAlign w:val="center"/>
          </w:tcPr>
          <w:p w:rsidR="00676448" w:rsidRPr="00DC0CBC" w:rsidRDefault="00676448" w:rsidP="00FC70A8">
            <w:pPr>
              <w:ind w:right="791"/>
              <w:jc w:val="center"/>
            </w:pPr>
          </w:p>
        </w:tc>
      </w:tr>
      <w:tr w:rsidR="00676448" w:rsidRPr="00DC0CBC">
        <w:trPr>
          <w:trHeight w:val="340"/>
        </w:trPr>
        <w:tc>
          <w:tcPr>
            <w:tcW w:w="3652" w:type="pct"/>
            <w:gridSpan w:val="2"/>
            <w:vAlign w:val="center"/>
          </w:tcPr>
          <w:p w:rsidR="00676448" w:rsidRPr="00DC0CBC" w:rsidRDefault="00676448" w:rsidP="00FC70A8">
            <w:pPr>
              <w:ind w:left="357"/>
            </w:pPr>
            <w:r w:rsidRPr="00DC0CBC">
              <w:rPr>
                <w:sz w:val="22"/>
                <w:szCs w:val="22"/>
              </w:rPr>
              <w:t>0</w:t>
            </w:r>
          </w:p>
        </w:tc>
        <w:tc>
          <w:tcPr>
            <w:tcW w:w="595" w:type="pct"/>
            <w:vAlign w:val="center"/>
          </w:tcPr>
          <w:p w:rsidR="00676448" w:rsidRPr="00DC0CBC" w:rsidRDefault="00676448" w:rsidP="00FC70A8">
            <w:r w:rsidRPr="00DC0CBC">
              <w:rPr>
                <w:sz w:val="22"/>
                <w:szCs w:val="22"/>
              </w:rPr>
              <w:t>600</w:t>
            </w:r>
          </w:p>
        </w:tc>
        <w:tc>
          <w:tcPr>
            <w:tcW w:w="752" w:type="pct"/>
            <w:gridSpan w:val="3"/>
            <w:vAlign w:val="center"/>
          </w:tcPr>
          <w:p w:rsidR="00676448" w:rsidRPr="00DC0CBC" w:rsidRDefault="00676448" w:rsidP="00FC70A8">
            <w:r w:rsidRPr="00DC0CBC">
              <w:rPr>
                <w:sz w:val="22"/>
                <w:szCs w:val="22"/>
              </w:rPr>
              <w:t>(14.2)</w:t>
            </w:r>
            <w:r>
              <w:rPr>
                <w:sz w:val="22"/>
                <w:szCs w:val="22"/>
              </w:rPr>
              <w:t xml:space="preserve">  </w:t>
            </w:r>
          </w:p>
        </w:tc>
      </w:tr>
      <w:tr w:rsidR="00676448" w:rsidRPr="00DC0CBC">
        <w:trPr>
          <w:trHeight w:val="340"/>
        </w:trPr>
        <w:tc>
          <w:tcPr>
            <w:tcW w:w="3652" w:type="pct"/>
            <w:gridSpan w:val="2"/>
            <w:vAlign w:val="center"/>
          </w:tcPr>
          <w:p w:rsidR="00676448" w:rsidRPr="00DC0CBC" w:rsidRDefault="00676448" w:rsidP="00FC70A8">
            <w:pPr>
              <w:ind w:left="357"/>
            </w:pPr>
            <w:r w:rsidRPr="00DC0CBC">
              <w:rPr>
                <w:sz w:val="22"/>
                <w:szCs w:val="22"/>
              </w:rPr>
              <w:t>1</w:t>
            </w:r>
          </w:p>
        </w:tc>
        <w:tc>
          <w:tcPr>
            <w:tcW w:w="595" w:type="pct"/>
            <w:vAlign w:val="center"/>
          </w:tcPr>
          <w:p w:rsidR="00676448" w:rsidRPr="00DC0CBC" w:rsidRDefault="00676448" w:rsidP="00FC70A8">
            <w:r w:rsidRPr="00DC0CBC">
              <w:rPr>
                <w:sz w:val="22"/>
                <w:szCs w:val="22"/>
              </w:rPr>
              <w:t>488</w:t>
            </w:r>
          </w:p>
        </w:tc>
        <w:tc>
          <w:tcPr>
            <w:tcW w:w="752" w:type="pct"/>
            <w:gridSpan w:val="3"/>
            <w:vAlign w:val="center"/>
          </w:tcPr>
          <w:p w:rsidR="00676448" w:rsidRPr="00DC0CBC" w:rsidRDefault="00676448" w:rsidP="00FC70A8">
            <w:r w:rsidRPr="00DC0CBC">
              <w:rPr>
                <w:sz w:val="22"/>
                <w:szCs w:val="22"/>
              </w:rPr>
              <w:t>(11.6)</w:t>
            </w:r>
          </w:p>
        </w:tc>
      </w:tr>
      <w:tr w:rsidR="00676448" w:rsidRPr="00DC0CBC">
        <w:trPr>
          <w:trHeight w:val="340"/>
        </w:trPr>
        <w:tc>
          <w:tcPr>
            <w:tcW w:w="3652" w:type="pct"/>
            <w:gridSpan w:val="2"/>
            <w:vAlign w:val="center"/>
          </w:tcPr>
          <w:p w:rsidR="00676448" w:rsidRPr="00DC0CBC" w:rsidRDefault="00676448" w:rsidP="00FC70A8">
            <w:pPr>
              <w:ind w:left="357"/>
            </w:pPr>
            <w:r w:rsidRPr="00DC0CBC">
              <w:rPr>
                <w:sz w:val="22"/>
                <w:szCs w:val="22"/>
              </w:rPr>
              <w:t>2</w:t>
            </w:r>
          </w:p>
        </w:tc>
        <w:tc>
          <w:tcPr>
            <w:tcW w:w="595" w:type="pct"/>
            <w:vAlign w:val="center"/>
          </w:tcPr>
          <w:p w:rsidR="00676448" w:rsidRPr="00DC0CBC" w:rsidRDefault="00676448" w:rsidP="00FC70A8">
            <w:r w:rsidRPr="00DC0CBC">
              <w:rPr>
                <w:sz w:val="22"/>
                <w:szCs w:val="22"/>
              </w:rPr>
              <w:t>1443</w:t>
            </w:r>
          </w:p>
        </w:tc>
        <w:tc>
          <w:tcPr>
            <w:tcW w:w="752" w:type="pct"/>
            <w:gridSpan w:val="3"/>
            <w:vAlign w:val="center"/>
          </w:tcPr>
          <w:p w:rsidR="00676448" w:rsidRPr="00DC0CBC" w:rsidRDefault="00676448" w:rsidP="00FC70A8">
            <w:r w:rsidRPr="00DC0CBC">
              <w:rPr>
                <w:sz w:val="22"/>
                <w:szCs w:val="22"/>
              </w:rPr>
              <w:t>(34.2)</w:t>
            </w:r>
          </w:p>
        </w:tc>
      </w:tr>
      <w:tr w:rsidR="00676448" w:rsidRPr="00DC0CBC">
        <w:trPr>
          <w:trHeight w:val="340"/>
        </w:trPr>
        <w:tc>
          <w:tcPr>
            <w:tcW w:w="3652" w:type="pct"/>
            <w:gridSpan w:val="2"/>
            <w:vAlign w:val="center"/>
          </w:tcPr>
          <w:p w:rsidR="00676448" w:rsidRPr="00DC0CBC" w:rsidRDefault="00676448" w:rsidP="00FC70A8">
            <w:pPr>
              <w:ind w:left="357"/>
            </w:pPr>
            <w:r w:rsidRPr="00DC0CBC">
              <w:rPr>
                <w:sz w:val="22"/>
                <w:szCs w:val="22"/>
              </w:rPr>
              <w:t>≥3</w:t>
            </w:r>
          </w:p>
        </w:tc>
        <w:tc>
          <w:tcPr>
            <w:tcW w:w="595" w:type="pct"/>
            <w:vAlign w:val="center"/>
          </w:tcPr>
          <w:p w:rsidR="00676448" w:rsidRPr="00DC0CBC" w:rsidRDefault="00676448" w:rsidP="00FC70A8">
            <w:r w:rsidRPr="00DC0CBC">
              <w:rPr>
                <w:sz w:val="22"/>
                <w:szCs w:val="22"/>
              </w:rPr>
              <w:t>1686</w:t>
            </w:r>
          </w:p>
        </w:tc>
        <w:tc>
          <w:tcPr>
            <w:tcW w:w="752" w:type="pct"/>
            <w:gridSpan w:val="3"/>
            <w:vAlign w:val="center"/>
          </w:tcPr>
          <w:p w:rsidR="00676448" w:rsidRPr="00DC0CBC" w:rsidRDefault="00676448" w:rsidP="00FC70A8">
            <w:r w:rsidRPr="00DC0CBC">
              <w:rPr>
                <w:sz w:val="22"/>
                <w:szCs w:val="22"/>
              </w:rPr>
              <w:t>(40.0)</w:t>
            </w:r>
          </w:p>
        </w:tc>
      </w:tr>
      <w:tr w:rsidR="00676448" w:rsidRPr="00182CAE">
        <w:trPr>
          <w:gridAfter w:val="1"/>
          <w:wAfter w:w="45" w:type="pct"/>
          <w:trHeight w:val="340"/>
        </w:trPr>
        <w:tc>
          <w:tcPr>
            <w:tcW w:w="3652" w:type="pct"/>
            <w:gridSpan w:val="2"/>
            <w:vAlign w:val="center"/>
          </w:tcPr>
          <w:p w:rsidR="00676448" w:rsidRPr="0015324D" w:rsidRDefault="00676448" w:rsidP="00E61CAB"/>
        </w:tc>
        <w:tc>
          <w:tcPr>
            <w:tcW w:w="595" w:type="pct"/>
            <w:vAlign w:val="center"/>
          </w:tcPr>
          <w:p w:rsidR="00676448" w:rsidRPr="0015324D" w:rsidRDefault="00676448" w:rsidP="00E61CAB">
            <w:pPr>
              <w:jc w:val="center"/>
            </w:pPr>
          </w:p>
        </w:tc>
        <w:tc>
          <w:tcPr>
            <w:tcW w:w="708" w:type="pct"/>
            <w:gridSpan w:val="2"/>
            <w:vAlign w:val="center"/>
          </w:tcPr>
          <w:p w:rsidR="00676448" w:rsidRPr="0015324D" w:rsidRDefault="00676448" w:rsidP="00E61CAB">
            <w:pPr>
              <w:jc w:val="center"/>
            </w:pPr>
          </w:p>
        </w:tc>
      </w:tr>
      <w:tr w:rsidR="00676448" w:rsidRPr="00182CAE">
        <w:trPr>
          <w:gridAfter w:val="1"/>
          <w:wAfter w:w="45" w:type="pct"/>
          <w:trHeight w:val="340"/>
        </w:trPr>
        <w:tc>
          <w:tcPr>
            <w:tcW w:w="3652" w:type="pct"/>
            <w:gridSpan w:val="2"/>
            <w:vAlign w:val="center"/>
          </w:tcPr>
          <w:p w:rsidR="00676448" w:rsidRPr="00DC0CBC" w:rsidRDefault="00676448" w:rsidP="00FC70A8">
            <w:r w:rsidRPr="00DC0CBC">
              <w:rPr>
                <w:sz w:val="22"/>
                <w:szCs w:val="22"/>
              </w:rPr>
              <w:t>Number of children (N = 4314)</w:t>
            </w:r>
          </w:p>
        </w:tc>
        <w:tc>
          <w:tcPr>
            <w:tcW w:w="595" w:type="pct"/>
            <w:vAlign w:val="center"/>
          </w:tcPr>
          <w:p w:rsidR="00676448" w:rsidRPr="00DC0CBC" w:rsidRDefault="00676448" w:rsidP="00FC70A8">
            <w:pPr>
              <w:jc w:val="center"/>
            </w:pPr>
          </w:p>
        </w:tc>
        <w:tc>
          <w:tcPr>
            <w:tcW w:w="708" w:type="pct"/>
            <w:gridSpan w:val="2"/>
            <w:vAlign w:val="center"/>
          </w:tcPr>
          <w:p w:rsidR="00676448" w:rsidRPr="00DC0CBC" w:rsidRDefault="00676448" w:rsidP="00FC70A8">
            <w:pPr>
              <w:jc w:val="center"/>
            </w:pPr>
          </w:p>
        </w:tc>
      </w:tr>
      <w:tr w:rsidR="00676448" w:rsidRPr="00182CAE">
        <w:trPr>
          <w:gridAfter w:val="1"/>
          <w:wAfter w:w="45" w:type="pct"/>
          <w:trHeight w:val="340"/>
        </w:trPr>
        <w:tc>
          <w:tcPr>
            <w:tcW w:w="3652" w:type="pct"/>
            <w:gridSpan w:val="2"/>
            <w:vAlign w:val="center"/>
          </w:tcPr>
          <w:p w:rsidR="00676448" w:rsidRPr="00DC0CBC" w:rsidRDefault="00676448" w:rsidP="00FC70A8">
            <w:pPr>
              <w:ind w:left="357"/>
            </w:pPr>
            <w:r w:rsidRPr="00DC0CBC">
              <w:rPr>
                <w:sz w:val="22"/>
                <w:szCs w:val="22"/>
              </w:rPr>
              <w:t>0</w:t>
            </w:r>
          </w:p>
        </w:tc>
        <w:tc>
          <w:tcPr>
            <w:tcW w:w="595" w:type="pct"/>
            <w:vAlign w:val="center"/>
          </w:tcPr>
          <w:p w:rsidR="00676448" w:rsidRPr="00DC0CBC" w:rsidRDefault="00676448" w:rsidP="00FC70A8">
            <w:pPr>
              <w:jc w:val="center"/>
            </w:pPr>
            <w:r w:rsidRPr="00DC0CBC">
              <w:rPr>
                <w:sz w:val="22"/>
                <w:szCs w:val="22"/>
              </w:rPr>
              <w:t>732</w:t>
            </w:r>
          </w:p>
        </w:tc>
        <w:tc>
          <w:tcPr>
            <w:tcW w:w="708" w:type="pct"/>
            <w:gridSpan w:val="2"/>
            <w:vAlign w:val="center"/>
          </w:tcPr>
          <w:p w:rsidR="00676448" w:rsidRPr="00DC0CBC" w:rsidRDefault="00676448" w:rsidP="00FC70A8">
            <w:pPr>
              <w:jc w:val="center"/>
            </w:pPr>
            <w:r w:rsidRPr="00DC0CBC">
              <w:rPr>
                <w:sz w:val="22"/>
                <w:szCs w:val="22"/>
              </w:rPr>
              <w:t>(17.0)</w:t>
            </w:r>
          </w:p>
        </w:tc>
      </w:tr>
      <w:tr w:rsidR="00676448" w:rsidRPr="00182CAE">
        <w:trPr>
          <w:gridAfter w:val="1"/>
          <w:wAfter w:w="45" w:type="pct"/>
          <w:trHeight w:val="340"/>
        </w:trPr>
        <w:tc>
          <w:tcPr>
            <w:tcW w:w="3652" w:type="pct"/>
            <w:gridSpan w:val="2"/>
            <w:vAlign w:val="center"/>
          </w:tcPr>
          <w:p w:rsidR="00676448" w:rsidRPr="00DC0CBC" w:rsidRDefault="00676448" w:rsidP="00FC70A8">
            <w:pPr>
              <w:ind w:left="357"/>
            </w:pPr>
            <w:r w:rsidRPr="00DC0CBC">
              <w:rPr>
                <w:sz w:val="22"/>
                <w:szCs w:val="22"/>
              </w:rPr>
              <w:t>1</w:t>
            </w:r>
          </w:p>
        </w:tc>
        <w:tc>
          <w:tcPr>
            <w:tcW w:w="595" w:type="pct"/>
            <w:vAlign w:val="center"/>
          </w:tcPr>
          <w:p w:rsidR="00676448" w:rsidRPr="00DC0CBC" w:rsidRDefault="00676448" w:rsidP="00FC70A8">
            <w:pPr>
              <w:jc w:val="center"/>
            </w:pPr>
            <w:r w:rsidRPr="00DC0CBC">
              <w:rPr>
                <w:sz w:val="22"/>
                <w:szCs w:val="22"/>
              </w:rPr>
              <w:t>618</w:t>
            </w:r>
          </w:p>
        </w:tc>
        <w:tc>
          <w:tcPr>
            <w:tcW w:w="708" w:type="pct"/>
            <w:gridSpan w:val="2"/>
            <w:vAlign w:val="center"/>
          </w:tcPr>
          <w:p w:rsidR="00676448" w:rsidRPr="00DC0CBC" w:rsidRDefault="00676448" w:rsidP="00FC70A8">
            <w:pPr>
              <w:jc w:val="center"/>
            </w:pPr>
            <w:r w:rsidRPr="00DC0CBC">
              <w:rPr>
                <w:sz w:val="22"/>
                <w:szCs w:val="22"/>
              </w:rPr>
              <w:t>(14.3)</w:t>
            </w:r>
          </w:p>
        </w:tc>
      </w:tr>
      <w:tr w:rsidR="00676448" w:rsidRPr="00182CAE">
        <w:trPr>
          <w:gridAfter w:val="1"/>
          <w:wAfter w:w="45" w:type="pct"/>
          <w:trHeight w:val="340"/>
        </w:trPr>
        <w:tc>
          <w:tcPr>
            <w:tcW w:w="3652" w:type="pct"/>
            <w:gridSpan w:val="2"/>
            <w:vAlign w:val="center"/>
          </w:tcPr>
          <w:p w:rsidR="00676448" w:rsidRPr="00DC0CBC" w:rsidRDefault="00676448" w:rsidP="00FC70A8">
            <w:pPr>
              <w:ind w:left="357"/>
            </w:pPr>
            <w:r w:rsidRPr="00DC0CBC">
              <w:rPr>
                <w:sz w:val="22"/>
                <w:szCs w:val="22"/>
              </w:rPr>
              <w:t>2</w:t>
            </w:r>
          </w:p>
        </w:tc>
        <w:tc>
          <w:tcPr>
            <w:tcW w:w="595" w:type="pct"/>
            <w:vAlign w:val="center"/>
          </w:tcPr>
          <w:p w:rsidR="00676448" w:rsidRPr="00DC0CBC" w:rsidRDefault="00676448" w:rsidP="00FC70A8">
            <w:pPr>
              <w:jc w:val="center"/>
            </w:pPr>
            <w:r w:rsidRPr="00DC0CBC">
              <w:rPr>
                <w:sz w:val="22"/>
                <w:szCs w:val="22"/>
              </w:rPr>
              <w:t>1847</w:t>
            </w:r>
          </w:p>
        </w:tc>
        <w:tc>
          <w:tcPr>
            <w:tcW w:w="708" w:type="pct"/>
            <w:gridSpan w:val="2"/>
            <w:vAlign w:val="center"/>
          </w:tcPr>
          <w:p w:rsidR="00676448" w:rsidRPr="00DC0CBC" w:rsidRDefault="00676448" w:rsidP="00FC70A8">
            <w:pPr>
              <w:jc w:val="center"/>
            </w:pPr>
            <w:r w:rsidRPr="00DC0CBC">
              <w:rPr>
                <w:sz w:val="22"/>
                <w:szCs w:val="22"/>
              </w:rPr>
              <w:t>(42.8)</w:t>
            </w:r>
          </w:p>
        </w:tc>
      </w:tr>
      <w:tr w:rsidR="00676448" w:rsidRPr="00182CAE">
        <w:trPr>
          <w:gridAfter w:val="1"/>
          <w:wAfter w:w="45" w:type="pct"/>
          <w:trHeight w:val="340"/>
        </w:trPr>
        <w:tc>
          <w:tcPr>
            <w:tcW w:w="3652" w:type="pct"/>
            <w:gridSpan w:val="2"/>
            <w:vAlign w:val="center"/>
          </w:tcPr>
          <w:p w:rsidR="00676448" w:rsidRPr="00DC0CBC" w:rsidRDefault="00676448" w:rsidP="00FC70A8">
            <w:pPr>
              <w:ind w:left="357"/>
            </w:pPr>
            <w:r w:rsidRPr="00DC0CBC">
              <w:rPr>
                <w:sz w:val="22"/>
                <w:szCs w:val="22"/>
              </w:rPr>
              <w:t>≥3</w:t>
            </w:r>
          </w:p>
        </w:tc>
        <w:tc>
          <w:tcPr>
            <w:tcW w:w="595" w:type="pct"/>
            <w:vAlign w:val="center"/>
          </w:tcPr>
          <w:p w:rsidR="00676448" w:rsidRPr="00DC0CBC" w:rsidRDefault="00676448" w:rsidP="00FC70A8">
            <w:pPr>
              <w:jc w:val="center"/>
            </w:pPr>
            <w:r w:rsidRPr="00DC0CBC">
              <w:rPr>
                <w:sz w:val="22"/>
                <w:szCs w:val="22"/>
              </w:rPr>
              <w:t>1117</w:t>
            </w:r>
          </w:p>
        </w:tc>
        <w:tc>
          <w:tcPr>
            <w:tcW w:w="708" w:type="pct"/>
            <w:gridSpan w:val="2"/>
            <w:vAlign w:val="center"/>
          </w:tcPr>
          <w:p w:rsidR="00676448" w:rsidRPr="00DC0CBC" w:rsidRDefault="00676448" w:rsidP="00FC70A8">
            <w:pPr>
              <w:jc w:val="center"/>
            </w:pPr>
            <w:r w:rsidRPr="00DC0CBC">
              <w:rPr>
                <w:sz w:val="22"/>
                <w:szCs w:val="22"/>
              </w:rPr>
              <w:t>(25.9)</w:t>
            </w:r>
          </w:p>
        </w:tc>
      </w:tr>
      <w:tr w:rsidR="00676448" w:rsidRPr="00182CAE">
        <w:trPr>
          <w:gridAfter w:val="1"/>
          <w:wAfter w:w="45" w:type="pct"/>
          <w:trHeight w:val="340"/>
        </w:trPr>
        <w:tc>
          <w:tcPr>
            <w:tcW w:w="3652" w:type="pct"/>
            <w:gridSpan w:val="2"/>
            <w:vAlign w:val="center"/>
          </w:tcPr>
          <w:p w:rsidR="00676448" w:rsidRPr="0015324D" w:rsidRDefault="00676448" w:rsidP="00FC70A8"/>
        </w:tc>
        <w:tc>
          <w:tcPr>
            <w:tcW w:w="595" w:type="pct"/>
            <w:vAlign w:val="center"/>
          </w:tcPr>
          <w:p w:rsidR="00676448" w:rsidRPr="0015324D" w:rsidRDefault="00676448" w:rsidP="00FC70A8">
            <w:pPr>
              <w:jc w:val="center"/>
            </w:pPr>
          </w:p>
        </w:tc>
        <w:tc>
          <w:tcPr>
            <w:tcW w:w="708" w:type="pct"/>
            <w:gridSpan w:val="2"/>
            <w:vAlign w:val="center"/>
          </w:tcPr>
          <w:p w:rsidR="00676448" w:rsidRPr="0015324D" w:rsidRDefault="00676448" w:rsidP="00FC70A8">
            <w:pPr>
              <w:jc w:val="center"/>
            </w:pPr>
          </w:p>
        </w:tc>
      </w:tr>
      <w:tr w:rsidR="00676448" w:rsidRPr="00182CAE">
        <w:trPr>
          <w:gridAfter w:val="1"/>
          <w:wAfter w:w="45" w:type="pct"/>
          <w:trHeight w:val="340"/>
        </w:trPr>
        <w:tc>
          <w:tcPr>
            <w:tcW w:w="3652" w:type="pct"/>
            <w:gridSpan w:val="2"/>
            <w:vAlign w:val="center"/>
          </w:tcPr>
          <w:p w:rsidR="00676448" w:rsidRPr="00DC0CBC" w:rsidRDefault="00676448" w:rsidP="00AE25B5">
            <w:r w:rsidRPr="00DC0CBC">
              <w:rPr>
                <w:sz w:val="22"/>
                <w:szCs w:val="22"/>
              </w:rPr>
              <w:t>Marital status (N = 4369)</w:t>
            </w:r>
          </w:p>
        </w:tc>
        <w:tc>
          <w:tcPr>
            <w:tcW w:w="595" w:type="pct"/>
            <w:vAlign w:val="center"/>
          </w:tcPr>
          <w:p w:rsidR="00676448" w:rsidRPr="00DC0CBC" w:rsidRDefault="00676448" w:rsidP="00AE25B5">
            <w:pPr>
              <w:jc w:val="center"/>
            </w:pPr>
          </w:p>
        </w:tc>
        <w:tc>
          <w:tcPr>
            <w:tcW w:w="708" w:type="pct"/>
            <w:gridSpan w:val="2"/>
            <w:vAlign w:val="center"/>
          </w:tcPr>
          <w:p w:rsidR="00676448" w:rsidRPr="00DC0CBC" w:rsidRDefault="00676448" w:rsidP="00AE25B5">
            <w:pPr>
              <w:ind w:right="791"/>
              <w:jc w:val="center"/>
            </w:pPr>
          </w:p>
        </w:tc>
      </w:tr>
      <w:tr w:rsidR="00676448" w:rsidRPr="00182CAE">
        <w:trPr>
          <w:gridAfter w:val="1"/>
          <w:wAfter w:w="45" w:type="pct"/>
          <w:trHeight w:val="340"/>
        </w:trPr>
        <w:tc>
          <w:tcPr>
            <w:tcW w:w="3652" w:type="pct"/>
            <w:gridSpan w:val="2"/>
            <w:vAlign w:val="center"/>
          </w:tcPr>
          <w:p w:rsidR="00676448" w:rsidRPr="00DC0CBC" w:rsidRDefault="00676448" w:rsidP="00AE25B5">
            <w:pPr>
              <w:ind w:left="360"/>
            </w:pPr>
            <w:r w:rsidRPr="00DC0CBC">
              <w:rPr>
                <w:sz w:val="22"/>
                <w:szCs w:val="22"/>
              </w:rPr>
              <w:t>Single</w:t>
            </w:r>
          </w:p>
        </w:tc>
        <w:tc>
          <w:tcPr>
            <w:tcW w:w="595" w:type="pct"/>
            <w:vAlign w:val="center"/>
          </w:tcPr>
          <w:p w:rsidR="00676448" w:rsidRPr="00DC0CBC" w:rsidRDefault="00676448" w:rsidP="00AE25B5">
            <w:pPr>
              <w:jc w:val="center"/>
            </w:pPr>
            <w:r w:rsidRPr="00DC0CBC">
              <w:rPr>
                <w:sz w:val="22"/>
                <w:szCs w:val="22"/>
              </w:rPr>
              <w:t>243</w:t>
            </w:r>
          </w:p>
        </w:tc>
        <w:tc>
          <w:tcPr>
            <w:tcW w:w="708" w:type="pct"/>
            <w:gridSpan w:val="2"/>
            <w:vAlign w:val="center"/>
          </w:tcPr>
          <w:p w:rsidR="00676448" w:rsidRPr="00DC0CBC" w:rsidRDefault="00676448" w:rsidP="00AE25B5">
            <w:pPr>
              <w:jc w:val="center"/>
            </w:pPr>
            <w:r w:rsidRPr="00DC0CBC">
              <w:rPr>
                <w:sz w:val="22"/>
                <w:szCs w:val="22"/>
              </w:rPr>
              <w:t>(5.6)</w:t>
            </w:r>
          </w:p>
        </w:tc>
      </w:tr>
      <w:tr w:rsidR="00676448" w:rsidRPr="00182CAE">
        <w:trPr>
          <w:gridAfter w:val="1"/>
          <w:wAfter w:w="45" w:type="pct"/>
          <w:trHeight w:val="340"/>
        </w:trPr>
        <w:tc>
          <w:tcPr>
            <w:tcW w:w="3652" w:type="pct"/>
            <w:gridSpan w:val="2"/>
            <w:vAlign w:val="center"/>
          </w:tcPr>
          <w:p w:rsidR="00676448" w:rsidRPr="00DC0CBC" w:rsidRDefault="00676448" w:rsidP="00AE25B5">
            <w:pPr>
              <w:ind w:left="360"/>
            </w:pPr>
            <w:r w:rsidRPr="00DC0CBC">
              <w:rPr>
                <w:sz w:val="22"/>
                <w:szCs w:val="22"/>
              </w:rPr>
              <w:t>Partner, not living together</w:t>
            </w:r>
          </w:p>
        </w:tc>
        <w:tc>
          <w:tcPr>
            <w:tcW w:w="595" w:type="pct"/>
            <w:vAlign w:val="center"/>
          </w:tcPr>
          <w:p w:rsidR="00676448" w:rsidRPr="00DC0CBC" w:rsidRDefault="00676448" w:rsidP="00AE25B5">
            <w:pPr>
              <w:jc w:val="center"/>
            </w:pPr>
            <w:r w:rsidRPr="00DC0CBC">
              <w:rPr>
                <w:sz w:val="22"/>
                <w:szCs w:val="22"/>
              </w:rPr>
              <w:t>128</w:t>
            </w:r>
          </w:p>
        </w:tc>
        <w:tc>
          <w:tcPr>
            <w:tcW w:w="708" w:type="pct"/>
            <w:gridSpan w:val="2"/>
            <w:vAlign w:val="center"/>
          </w:tcPr>
          <w:p w:rsidR="00676448" w:rsidRPr="00DC0CBC" w:rsidRDefault="00676448" w:rsidP="00AE25B5">
            <w:pPr>
              <w:jc w:val="center"/>
            </w:pPr>
            <w:r w:rsidRPr="00DC0CBC">
              <w:rPr>
                <w:sz w:val="22"/>
                <w:szCs w:val="22"/>
              </w:rPr>
              <w:t>(2.9)</w:t>
            </w:r>
          </w:p>
        </w:tc>
      </w:tr>
      <w:tr w:rsidR="00676448" w:rsidRPr="00182CAE">
        <w:trPr>
          <w:gridAfter w:val="1"/>
          <w:wAfter w:w="45" w:type="pct"/>
          <w:trHeight w:val="340"/>
        </w:trPr>
        <w:tc>
          <w:tcPr>
            <w:tcW w:w="3652" w:type="pct"/>
            <w:gridSpan w:val="2"/>
            <w:vAlign w:val="center"/>
          </w:tcPr>
          <w:p w:rsidR="00676448" w:rsidRPr="00DC0CBC" w:rsidRDefault="00676448" w:rsidP="00AE25B5">
            <w:pPr>
              <w:ind w:left="360"/>
            </w:pPr>
            <w:r w:rsidRPr="00DC0CBC">
              <w:rPr>
                <w:sz w:val="22"/>
                <w:szCs w:val="22"/>
              </w:rPr>
              <w:t>Married / cohabiting</w:t>
            </w:r>
          </w:p>
        </w:tc>
        <w:tc>
          <w:tcPr>
            <w:tcW w:w="595" w:type="pct"/>
            <w:vAlign w:val="center"/>
          </w:tcPr>
          <w:p w:rsidR="00676448" w:rsidRPr="00DC0CBC" w:rsidRDefault="00676448" w:rsidP="00AE25B5">
            <w:pPr>
              <w:jc w:val="center"/>
            </w:pPr>
            <w:r w:rsidRPr="00DC0CBC">
              <w:rPr>
                <w:sz w:val="22"/>
                <w:szCs w:val="22"/>
              </w:rPr>
              <w:t>3421</w:t>
            </w:r>
          </w:p>
        </w:tc>
        <w:tc>
          <w:tcPr>
            <w:tcW w:w="708" w:type="pct"/>
            <w:gridSpan w:val="2"/>
            <w:vAlign w:val="center"/>
          </w:tcPr>
          <w:p w:rsidR="00676448" w:rsidRPr="00DC0CBC" w:rsidRDefault="00676448" w:rsidP="00AE25B5">
            <w:pPr>
              <w:jc w:val="center"/>
            </w:pPr>
            <w:r w:rsidRPr="00DC0CBC">
              <w:rPr>
                <w:sz w:val="22"/>
                <w:szCs w:val="22"/>
              </w:rPr>
              <w:t>(78.3)</w:t>
            </w:r>
          </w:p>
        </w:tc>
      </w:tr>
      <w:tr w:rsidR="00676448" w:rsidRPr="00182CAE">
        <w:trPr>
          <w:gridAfter w:val="1"/>
          <w:wAfter w:w="45" w:type="pct"/>
          <w:trHeight w:val="340"/>
        </w:trPr>
        <w:tc>
          <w:tcPr>
            <w:tcW w:w="3652" w:type="pct"/>
            <w:gridSpan w:val="2"/>
            <w:vAlign w:val="center"/>
          </w:tcPr>
          <w:p w:rsidR="00676448" w:rsidRPr="00DC0CBC" w:rsidRDefault="00676448" w:rsidP="00AE25B5">
            <w:pPr>
              <w:ind w:left="360"/>
            </w:pPr>
            <w:r w:rsidRPr="00DC0CBC">
              <w:rPr>
                <w:sz w:val="22"/>
                <w:szCs w:val="22"/>
              </w:rPr>
              <w:t>Divorced / separated</w:t>
            </w:r>
          </w:p>
        </w:tc>
        <w:tc>
          <w:tcPr>
            <w:tcW w:w="595" w:type="pct"/>
            <w:vAlign w:val="center"/>
          </w:tcPr>
          <w:p w:rsidR="00676448" w:rsidRPr="00DC0CBC" w:rsidRDefault="00676448" w:rsidP="00AE25B5">
            <w:pPr>
              <w:jc w:val="center"/>
            </w:pPr>
            <w:r w:rsidRPr="00DC0CBC">
              <w:rPr>
                <w:sz w:val="22"/>
                <w:szCs w:val="22"/>
              </w:rPr>
              <w:t>498</w:t>
            </w:r>
          </w:p>
        </w:tc>
        <w:tc>
          <w:tcPr>
            <w:tcW w:w="708" w:type="pct"/>
            <w:gridSpan w:val="2"/>
            <w:vAlign w:val="center"/>
          </w:tcPr>
          <w:p w:rsidR="00676448" w:rsidRPr="00DC0CBC" w:rsidRDefault="00676448" w:rsidP="00AE25B5">
            <w:pPr>
              <w:jc w:val="center"/>
            </w:pPr>
            <w:r w:rsidRPr="00DC0CBC">
              <w:rPr>
                <w:sz w:val="22"/>
                <w:szCs w:val="22"/>
              </w:rPr>
              <w:t>(11.4)</w:t>
            </w:r>
          </w:p>
        </w:tc>
      </w:tr>
      <w:tr w:rsidR="00676448" w:rsidRPr="00182CAE">
        <w:trPr>
          <w:gridAfter w:val="1"/>
          <w:wAfter w:w="45" w:type="pct"/>
          <w:trHeight w:val="340"/>
        </w:trPr>
        <w:tc>
          <w:tcPr>
            <w:tcW w:w="3652" w:type="pct"/>
            <w:gridSpan w:val="2"/>
            <w:vAlign w:val="center"/>
          </w:tcPr>
          <w:p w:rsidR="00676448" w:rsidRPr="00DC0CBC" w:rsidRDefault="00676448" w:rsidP="00AE25B5">
            <w:pPr>
              <w:ind w:left="360"/>
            </w:pPr>
            <w:r w:rsidRPr="00DC0CBC">
              <w:rPr>
                <w:sz w:val="22"/>
                <w:szCs w:val="22"/>
              </w:rPr>
              <w:t>Widowed</w:t>
            </w:r>
          </w:p>
        </w:tc>
        <w:tc>
          <w:tcPr>
            <w:tcW w:w="595" w:type="pct"/>
            <w:vAlign w:val="center"/>
          </w:tcPr>
          <w:p w:rsidR="00676448" w:rsidRPr="00DC0CBC" w:rsidRDefault="00676448" w:rsidP="00AE25B5">
            <w:pPr>
              <w:jc w:val="center"/>
            </w:pPr>
            <w:r w:rsidRPr="00DC0CBC">
              <w:rPr>
                <w:sz w:val="22"/>
                <w:szCs w:val="22"/>
              </w:rPr>
              <w:t>79</w:t>
            </w:r>
          </w:p>
        </w:tc>
        <w:tc>
          <w:tcPr>
            <w:tcW w:w="708" w:type="pct"/>
            <w:gridSpan w:val="2"/>
            <w:vAlign w:val="center"/>
          </w:tcPr>
          <w:p w:rsidR="00676448" w:rsidRPr="00DC0CBC" w:rsidRDefault="00676448" w:rsidP="00AE25B5">
            <w:pPr>
              <w:jc w:val="center"/>
            </w:pPr>
            <w:r w:rsidRPr="00DC0CBC">
              <w:rPr>
                <w:sz w:val="22"/>
                <w:szCs w:val="22"/>
              </w:rPr>
              <w:t>(1.8)</w:t>
            </w:r>
          </w:p>
        </w:tc>
      </w:tr>
      <w:tr w:rsidR="00676448" w:rsidRPr="00182CAE">
        <w:trPr>
          <w:gridAfter w:val="1"/>
          <w:wAfter w:w="45" w:type="pct"/>
          <w:trHeight w:val="340"/>
        </w:trPr>
        <w:tc>
          <w:tcPr>
            <w:tcW w:w="3652" w:type="pct"/>
            <w:gridSpan w:val="2"/>
            <w:vAlign w:val="center"/>
          </w:tcPr>
          <w:p w:rsidR="00676448" w:rsidRPr="0015324D" w:rsidRDefault="00676448" w:rsidP="00AE25B5"/>
        </w:tc>
        <w:tc>
          <w:tcPr>
            <w:tcW w:w="595" w:type="pct"/>
            <w:vAlign w:val="center"/>
          </w:tcPr>
          <w:p w:rsidR="00676448" w:rsidRPr="0015324D" w:rsidRDefault="00676448" w:rsidP="00AE25B5">
            <w:pPr>
              <w:jc w:val="center"/>
            </w:pPr>
          </w:p>
        </w:tc>
        <w:tc>
          <w:tcPr>
            <w:tcW w:w="708" w:type="pct"/>
            <w:gridSpan w:val="2"/>
            <w:vAlign w:val="center"/>
          </w:tcPr>
          <w:p w:rsidR="00676448" w:rsidRPr="0015324D" w:rsidRDefault="00676448" w:rsidP="00AE25B5">
            <w:pPr>
              <w:jc w:val="center"/>
            </w:pPr>
          </w:p>
        </w:tc>
      </w:tr>
      <w:tr w:rsidR="00676448" w:rsidRPr="0015324D">
        <w:trPr>
          <w:trHeight w:val="340"/>
        </w:trPr>
        <w:tc>
          <w:tcPr>
            <w:tcW w:w="3597" w:type="pct"/>
            <w:vAlign w:val="center"/>
          </w:tcPr>
          <w:p w:rsidR="00676448" w:rsidRPr="0015324D" w:rsidRDefault="00676448" w:rsidP="00AE25B5">
            <w:pPr>
              <w:ind w:left="57"/>
            </w:pPr>
            <w:r w:rsidRPr="0015324D">
              <w:rPr>
                <w:sz w:val="22"/>
                <w:szCs w:val="22"/>
              </w:rPr>
              <w:t>Body Mass Index (BMI)</w:t>
            </w:r>
            <w:r>
              <w:rPr>
                <w:sz w:val="22"/>
                <w:szCs w:val="22"/>
              </w:rPr>
              <w:t>, kg/m</w:t>
            </w:r>
            <w:r>
              <w:rPr>
                <w:sz w:val="22"/>
                <w:szCs w:val="22"/>
                <w:vertAlign w:val="superscript"/>
              </w:rPr>
              <w:t>2</w:t>
            </w:r>
            <w:r w:rsidRPr="0015324D">
              <w:rPr>
                <w:sz w:val="22"/>
                <w:szCs w:val="22"/>
              </w:rPr>
              <w:t xml:space="preserve"> (N= 4111)</w:t>
            </w:r>
          </w:p>
        </w:tc>
        <w:tc>
          <w:tcPr>
            <w:tcW w:w="701" w:type="pct"/>
            <w:gridSpan w:val="3"/>
            <w:vAlign w:val="center"/>
          </w:tcPr>
          <w:p w:rsidR="00676448" w:rsidRPr="0015324D" w:rsidRDefault="00676448" w:rsidP="00AE25B5">
            <w:pPr>
              <w:ind w:firstLine="30"/>
              <w:jc w:val="center"/>
            </w:pPr>
          </w:p>
        </w:tc>
        <w:tc>
          <w:tcPr>
            <w:tcW w:w="701" w:type="pct"/>
            <w:gridSpan w:val="2"/>
            <w:vAlign w:val="center"/>
          </w:tcPr>
          <w:p w:rsidR="00676448" w:rsidRPr="0015324D" w:rsidRDefault="00676448" w:rsidP="00AE25B5">
            <w:pPr>
              <w:jc w:val="center"/>
            </w:pPr>
          </w:p>
        </w:tc>
      </w:tr>
      <w:tr w:rsidR="00676448" w:rsidRPr="0015324D">
        <w:trPr>
          <w:trHeight w:val="340"/>
        </w:trPr>
        <w:tc>
          <w:tcPr>
            <w:tcW w:w="3597" w:type="pct"/>
            <w:vAlign w:val="center"/>
          </w:tcPr>
          <w:p w:rsidR="00676448" w:rsidRPr="0015324D" w:rsidRDefault="00676448" w:rsidP="00AE25B5">
            <w:pPr>
              <w:ind w:left="357"/>
            </w:pPr>
            <w:r w:rsidRPr="0015324D">
              <w:rPr>
                <w:sz w:val="22"/>
                <w:szCs w:val="22"/>
              </w:rPr>
              <w:t>&lt;18.5 (Underweight)</w:t>
            </w:r>
          </w:p>
        </w:tc>
        <w:tc>
          <w:tcPr>
            <w:tcW w:w="701" w:type="pct"/>
            <w:gridSpan w:val="3"/>
            <w:vAlign w:val="center"/>
          </w:tcPr>
          <w:p w:rsidR="00676448" w:rsidRPr="0015324D" w:rsidRDefault="00676448" w:rsidP="00AE25B5">
            <w:pPr>
              <w:ind w:firstLine="28"/>
              <w:jc w:val="center"/>
            </w:pPr>
            <w:r w:rsidRPr="0015324D">
              <w:rPr>
                <w:sz w:val="22"/>
                <w:szCs w:val="22"/>
              </w:rPr>
              <w:t xml:space="preserve">48 </w:t>
            </w:r>
          </w:p>
        </w:tc>
        <w:tc>
          <w:tcPr>
            <w:tcW w:w="701" w:type="pct"/>
            <w:gridSpan w:val="2"/>
            <w:vAlign w:val="center"/>
          </w:tcPr>
          <w:p w:rsidR="00676448" w:rsidRPr="0015324D" w:rsidRDefault="00676448" w:rsidP="00AE25B5">
            <w:pPr>
              <w:jc w:val="center"/>
            </w:pPr>
            <w:r w:rsidRPr="0015324D">
              <w:rPr>
                <w:sz w:val="22"/>
                <w:szCs w:val="22"/>
              </w:rPr>
              <w:t>(1.2)</w:t>
            </w:r>
          </w:p>
        </w:tc>
      </w:tr>
      <w:tr w:rsidR="00676448" w:rsidRPr="0015324D">
        <w:trPr>
          <w:trHeight w:val="340"/>
        </w:trPr>
        <w:tc>
          <w:tcPr>
            <w:tcW w:w="3597" w:type="pct"/>
            <w:vAlign w:val="center"/>
          </w:tcPr>
          <w:p w:rsidR="00676448" w:rsidRPr="0015324D" w:rsidRDefault="00676448" w:rsidP="00AE25B5">
            <w:pPr>
              <w:ind w:left="357"/>
            </w:pPr>
            <w:r w:rsidRPr="0015324D">
              <w:rPr>
                <w:sz w:val="22"/>
                <w:szCs w:val="22"/>
              </w:rPr>
              <w:t>18.5-24.9 (Normal weight)</w:t>
            </w:r>
          </w:p>
        </w:tc>
        <w:tc>
          <w:tcPr>
            <w:tcW w:w="701" w:type="pct"/>
            <w:gridSpan w:val="3"/>
            <w:vAlign w:val="center"/>
          </w:tcPr>
          <w:p w:rsidR="00676448" w:rsidRPr="0015324D" w:rsidRDefault="00676448" w:rsidP="00AE25B5">
            <w:pPr>
              <w:ind w:firstLine="28"/>
              <w:jc w:val="center"/>
            </w:pPr>
            <w:r w:rsidRPr="0015324D">
              <w:rPr>
                <w:sz w:val="22"/>
                <w:szCs w:val="22"/>
              </w:rPr>
              <w:t>1756</w:t>
            </w:r>
          </w:p>
        </w:tc>
        <w:tc>
          <w:tcPr>
            <w:tcW w:w="701" w:type="pct"/>
            <w:gridSpan w:val="2"/>
            <w:vAlign w:val="center"/>
          </w:tcPr>
          <w:p w:rsidR="00676448" w:rsidRPr="0015324D" w:rsidRDefault="00676448" w:rsidP="00AE25B5">
            <w:pPr>
              <w:jc w:val="center"/>
            </w:pPr>
            <w:r w:rsidRPr="0015324D">
              <w:rPr>
                <w:sz w:val="22"/>
                <w:szCs w:val="22"/>
              </w:rPr>
              <w:t>(42.7)</w:t>
            </w:r>
          </w:p>
        </w:tc>
      </w:tr>
      <w:tr w:rsidR="00676448" w:rsidRPr="0015324D">
        <w:trPr>
          <w:trHeight w:val="340"/>
        </w:trPr>
        <w:tc>
          <w:tcPr>
            <w:tcW w:w="3597" w:type="pct"/>
            <w:vAlign w:val="center"/>
          </w:tcPr>
          <w:p w:rsidR="00676448" w:rsidRPr="0015324D" w:rsidRDefault="00676448" w:rsidP="00AE25B5">
            <w:pPr>
              <w:ind w:left="357"/>
            </w:pPr>
            <w:r w:rsidRPr="0015324D">
              <w:rPr>
                <w:sz w:val="22"/>
                <w:szCs w:val="22"/>
              </w:rPr>
              <w:t>25.0 -29.9 (Overweight)</w:t>
            </w:r>
          </w:p>
        </w:tc>
        <w:tc>
          <w:tcPr>
            <w:tcW w:w="701" w:type="pct"/>
            <w:gridSpan w:val="3"/>
            <w:vAlign w:val="center"/>
          </w:tcPr>
          <w:p w:rsidR="00676448" w:rsidRPr="0015324D" w:rsidRDefault="00676448" w:rsidP="00AE25B5">
            <w:pPr>
              <w:ind w:firstLine="28"/>
              <w:jc w:val="center"/>
            </w:pPr>
            <w:r w:rsidRPr="0015324D">
              <w:rPr>
                <w:sz w:val="22"/>
                <w:szCs w:val="22"/>
              </w:rPr>
              <w:t>1319</w:t>
            </w:r>
          </w:p>
        </w:tc>
        <w:tc>
          <w:tcPr>
            <w:tcW w:w="701" w:type="pct"/>
            <w:gridSpan w:val="2"/>
            <w:vAlign w:val="center"/>
          </w:tcPr>
          <w:p w:rsidR="00676448" w:rsidRPr="0015324D" w:rsidRDefault="00676448" w:rsidP="00AE25B5">
            <w:pPr>
              <w:jc w:val="center"/>
            </w:pPr>
            <w:r w:rsidRPr="0015324D">
              <w:rPr>
                <w:sz w:val="22"/>
                <w:szCs w:val="22"/>
              </w:rPr>
              <w:t>(32.1)</w:t>
            </w:r>
          </w:p>
        </w:tc>
      </w:tr>
      <w:tr w:rsidR="00676448" w:rsidRPr="0015324D">
        <w:trPr>
          <w:trHeight w:val="340"/>
        </w:trPr>
        <w:tc>
          <w:tcPr>
            <w:tcW w:w="3597" w:type="pct"/>
            <w:vAlign w:val="center"/>
          </w:tcPr>
          <w:p w:rsidR="00676448" w:rsidRPr="0015324D" w:rsidRDefault="00676448" w:rsidP="00AE25B5">
            <w:pPr>
              <w:ind w:left="357"/>
            </w:pPr>
            <w:r w:rsidRPr="0015324D">
              <w:rPr>
                <w:sz w:val="22"/>
                <w:szCs w:val="22"/>
              </w:rPr>
              <w:t>≥30.0 (Obese)</w:t>
            </w:r>
          </w:p>
        </w:tc>
        <w:tc>
          <w:tcPr>
            <w:tcW w:w="701" w:type="pct"/>
            <w:gridSpan w:val="3"/>
            <w:vAlign w:val="center"/>
          </w:tcPr>
          <w:p w:rsidR="00676448" w:rsidRPr="0015324D" w:rsidRDefault="00676448" w:rsidP="00AE25B5">
            <w:pPr>
              <w:ind w:firstLine="28"/>
              <w:jc w:val="center"/>
            </w:pPr>
            <w:r w:rsidRPr="0015324D">
              <w:rPr>
                <w:sz w:val="22"/>
                <w:szCs w:val="22"/>
              </w:rPr>
              <w:t>988</w:t>
            </w:r>
          </w:p>
        </w:tc>
        <w:tc>
          <w:tcPr>
            <w:tcW w:w="701" w:type="pct"/>
            <w:gridSpan w:val="2"/>
            <w:vAlign w:val="center"/>
          </w:tcPr>
          <w:p w:rsidR="00676448" w:rsidRPr="0015324D" w:rsidRDefault="00676448" w:rsidP="00AE25B5">
            <w:pPr>
              <w:jc w:val="center"/>
            </w:pPr>
            <w:r w:rsidRPr="0015324D">
              <w:rPr>
                <w:sz w:val="22"/>
                <w:szCs w:val="22"/>
              </w:rPr>
              <w:t>(24.0)</w:t>
            </w:r>
          </w:p>
        </w:tc>
      </w:tr>
    </w:tbl>
    <w:p w:rsidR="00676448" w:rsidRPr="00A76ACB" w:rsidRDefault="00676448" w:rsidP="00A76ACB">
      <w:pPr>
        <w:spacing w:line="360" w:lineRule="auto"/>
        <w:jc w:val="both"/>
        <w:rPr>
          <w:b/>
          <w:bCs/>
        </w:rPr>
      </w:pPr>
      <w:r>
        <w:br w:type="page"/>
      </w:r>
      <w:proofErr w:type="gramStart"/>
      <w:r w:rsidRPr="00A76ACB">
        <w:rPr>
          <w:b/>
          <w:bCs/>
          <w:color w:val="0000FF"/>
        </w:rPr>
        <w:lastRenderedPageBreak/>
        <w:t>Table 1.</w:t>
      </w:r>
      <w:proofErr w:type="gramEnd"/>
      <w:r w:rsidRPr="00A76ACB">
        <w:rPr>
          <w:b/>
          <w:bCs/>
        </w:rPr>
        <w:t xml:space="preserve"> </w:t>
      </w:r>
      <w:proofErr w:type="gramStart"/>
      <w:r w:rsidRPr="00A76ACB">
        <w:rPr>
          <w:b/>
          <w:bCs/>
        </w:rPr>
        <w:t>(cont.)</w:t>
      </w:r>
      <w:proofErr w:type="gramEnd"/>
      <w:r w:rsidRPr="00A76ACB">
        <w:rPr>
          <w:b/>
          <w:bCs/>
        </w:rPr>
        <w:t xml:space="preserve"> Socio-demographic characteristics of respondents</w:t>
      </w:r>
    </w:p>
    <w:tbl>
      <w:tblPr>
        <w:tblpPr w:leftFromText="180" w:rightFromText="180" w:vertAnchor="page" w:horzAnchor="margin" w:tblpY="1981"/>
        <w:tblW w:w="3523" w:type="pct"/>
        <w:tblLook w:val="01E0"/>
      </w:tblPr>
      <w:tblGrid>
        <w:gridCol w:w="4801"/>
        <w:gridCol w:w="82"/>
        <w:gridCol w:w="702"/>
        <w:gridCol w:w="66"/>
        <w:gridCol w:w="861"/>
      </w:tblGrid>
      <w:tr w:rsidR="00676448" w:rsidRPr="00182CAE">
        <w:trPr>
          <w:trHeight w:val="340"/>
        </w:trPr>
        <w:tc>
          <w:tcPr>
            <w:tcW w:w="3749" w:type="pct"/>
            <w:gridSpan w:val="2"/>
            <w:tcBorders>
              <w:top w:val="single" w:sz="4" w:space="0" w:color="auto"/>
              <w:bottom w:val="single" w:sz="4" w:space="0" w:color="auto"/>
            </w:tcBorders>
            <w:vAlign w:val="center"/>
          </w:tcPr>
          <w:p w:rsidR="00676448" w:rsidRPr="0015324D" w:rsidRDefault="00676448" w:rsidP="00E61CAB">
            <w:pPr>
              <w:rPr>
                <w:b/>
                <w:bCs/>
              </w:rPr>
            </w:pPr>
            <w:r w:rsidRPr="0015324D">
              <w:rPr>
                <w:b/>
                <w:bCs/>
                <w:sz w:val="22"/>
                <w:szCs w:val="22"/>
              </w:rPr>
              <w:t>Characteristic</w:t>
            </w:r>
          </w:p>
        </w:tc>
        <w:tc>
          <w:tcPr>
            <w:tcW w:w="590" w:type="pct"/>
            <w:gridSpan w:val="2"/>
            <w:tcBorders>
              <w:top w:val="single" w:sz="4" w:space="0" w:color="auto"/>
              <w:bottom w:val="single" w:sz="4" w:space="0" w:color="auto"/>
            </w:tcBorders>
            <w:vAlign w:val="center"/>
          </w:tcPr>
          <w:p w:rsidR="00676448" w:rsidRPr="0015324D" w:rsidRDefault="00676448" w:rsidP="00E61CAB">
            <w:pPr>
              <w:jc w:val="center"/>
              <w:rPr>
                <w:b/>
                <w:bCs/>
              </w:rPr>
            </w:pPr>
            <w:r w:rsidRPr="0015324D">
              <w:rPr>
                <w:b/>
                <w:bCs/>
                <w:sz w:val="22"/>
                <w:szCs w:val="22"/>
              </w:rPr>
              <w:t>n</w:t>
            </w:r>
          </w:p>
        </w:tc>
        <w:tc>
          <w:tcPr>
            <w:tcW w:w="661" w:type="pct"/>
            <w:tcBorders>
              <w:top w:val="single" w:sz="4" w:space="0" w:color="auto"/>
              <w:bottom w:val="single" w:sz="4" w:space="0" w:color="auto"/>
            </w:tcBorders>
            <w:vAlign w:val="center"/>
          </w:tcPr>
          <w:p w:rsidR="00676448" w:rsidRPr="0015324D" w:rsidRDefault="00676448" w:rsidP="00E61CAB">
            <w:pPr>
              <w:jc w:val="center"/>
            </w:pPr>
            <w:r w:rsidRPr="0015324D">
              <w:rPr>
                <w:b/>
                <w:bCs/>
                <w:sz w:val="22"/>
                <w:szCs w:val="22"/>
              </w:rPr>
              <w:t>(%)</w:t>
            </w:r>
            <w:r w:rsidRPr="0015324D">
              <w:rPr>
                <w:rStyle w:val="FootnoteReference"/>
                <w:b/>
                <w:bCs/>
                <w:sz w:val="22"/>
                <w:szCs w:val="22"/>
              </w:rPr>
              <w:footnoteReference w:id="2"/>
            </w:r>
          </w:p>
        </w:tc>
      </w:tr>
      <w:tr w:rsidR="00676448" w:rsidRPr="0015324D">
        <w:trPr>
          <w:trHeight w:val="340"/>
        </w:trPr>
        <w:tc>
          <w:tcPr>
            <w:tcW w:w="3686" w:type="pct"/>
            <w:vAlign w:val="center"/>
          </w:tcPr>
          <w:p w:rsidR="00676448" w:rsidRPr="0015324D" w:rsidRDefault="00676448" w:rsidP="00AE25B5">
            <w:r w:rsidRPr="0015324D">
              <w:rPr>
                <w:sz w:val="22"/>
                <w:szCs w:val="22"/>
              </w:rPr>
              <w:t>Educational attainment (N= 4338)</w:t>
            </w:r>
          </w:p>
        </w:tc>
        <w:tc>
          <w:tcPr>
            <w:tcW w:w="602" w:type="pct"/>
            <w:gridSpan w:val="2"/>
            <w:vAlign w:val="center"/>
          </w:tcPr>
          <w:p w:rsidR="00676448" w:rsidRPr="0015324D" w:rsidRDefault="00676448" w:rsidP="00AE25B5">
            <w:pPr>
              <w:jc w:val="center"/>
            </w:pPr>
          </w:p>
        </w:tc>
        <w:tc>
          <w:tcPr>
            <w:tcW w:w="712" w:type="pct"/>
            <w:gridSpan w:val="2"/>
            <w:vAlign w:val="center"/>
          </w:tcPr>
          <w:p w:rsidR="00676448" w:rsidRPr="0015324D" w:rsidRDefault="00676448" w:rsidP="00AE25B5">
            <w:pPr>
              <w:jc w:val="center"/>
            </w:pPr>
          </w:p>
        </w:tc>
      </w:tr>
      <w:tr w:rsidR="00676448" w:rsidRPr="0015324D">
        <w:trPr>
          <w:trHeight w:val="340"/>
        </w:trPr>
        <w:tc>
          <w:tcPr>
            <w:tcW w:w="3686" w:type="pct"/>
            <w:vAlign w:val="center"/>
          </w:tcPr>
          <w:p w:rsidR="00676448" w:rsidRPr="0015324D" w:rsidRDefault="00676448" w:rsidP="00AE25B5">
            <w:pPr>
              <w:ind w:left="360"/>
            </w:pPr>
            <w:r w:rsidRPr="0015324D">
              <w:rPr>
                <w:sz w:val="22"/>
                <w:szCs w:val="22"/>
              </w:rPr>
              <w:t>No educational qualifications</w:t>
            </w:r>
          </w:p>
        </w:tc>
        <w:tc>
          <w:tcPr>
            <w:tcW w:w="602" w:type="pct"/>
            <w:gridSpan w:val="2"/>
            <w:vAlign w:val="center"/>
          </w:tcPr>
          <w:p w:rsidR="00676448" w:rsidRPr="0015324D" w:rsidRDefault="00676448" w:rsidP="00AE25B5">
            <w:pPr>
              <w:jc w:val="center"/>
            </w:pPr>
            <w:r w:rsidRPr="0015324D">
              <w:rPr>
                <w:sz w:val="22"/>
                <w:szCs w:val="22"/>
              </w:rPr>
              <w:t>525</w:t>
            </w:r>
          </w:p>
        </w:tc>
        <w:tc>
          <w:tcPr>
            <w:tcW w:w="712" w:type="pct"/>
            <w:gridSpan w:val="2"/>
            <w:vAlign w:val="center"/>
          </w:tcPr>
          <w:p w:rsidR="00676448" w:rsidRPr="0015324D" w:rsidRDefault="00676448" w:rsidP="00AE25B5">
            <w:pPr>
              <w:jc w:val="center"/>
            </w:pPr>
            <w:r w:rsidRPr="0015324D">
              <w:rPr>
                <w:sz w:val="22"/>
                <w:szCs w:val="22"/>
              </w:rPr>
              <w:t>(12.1)</w:t>
            </w:r>
          </w:p>
        </w:tc>
      </w:tr>
      <w:tr w:rsidR="00676448" w:rsidRPr="0015324D">
        <w:trPr>
          <w:trHeight w:val="340"/>
        </w:trPr>
        <w:tc>
          <w:tcPr>
            <w:tcW w:w="3686" w:type="pct"/>
            <w:vAlign w:val="center"/>
          </w:tcPr>
          <w:p w:rsidR="00676448" w:rsidRPr="0015324D" w:rsidRDefault="00676448" w:rsidP="00AE25B5">
            <w:pPr>
              <w:ind w:left="360"/>
            </w:pPr>
            <w:r w:rsidRPr="0015324D">
              <w:rPr>
                <w:sz w:val="22"/>
                <w:szCs w:val="22"/>
              </w:rPr>
              <w:t>‘O’ Grade / ‘O’ Level / Standard Grade</w:t>
            </w:r>
          </w:p>
        </w:tc>
        <w:tc>
          <w:tcPr>
            <w:tcW w:w="602" w:type="pct"/>
            <w:gridSpan w:val="2"/>
            <w:vAlign w:val="center"/>
          </w:tcPr>
          <w:p w:rsidR="00676448" w:rsidRPr="0015324D" w:rsidRDefault="00676448" w:rsidP="00AE25B5">
            <w:pPr>
              <w:jc w:val="center"/>
            </w:pPr>
            <w:r w:rsidRPr="0015324D">
              <w:rPr>
                <w:sz w:val="22"/>
                <w:szCs w:val="22"/>
              </w:rPr>
              <w:t>1132</w:t>
            </w:r>
          </w:p>
        </w:tc>
        <w:tc>
          <w:tcPr>
            <w:tcW w:w="712" w:type="pct"/>
            <w:gridSpan w:val="2"/>
            <w:vAlign w:val="center"/>
          </w:tcPr>
          <w:p w:rsidR="00676448" w:rsidRPr="0015324D" w:rsidRDefault="00676448" w:rsidP="00AE25B5">
            <w:pPr>
              <w:jc w:val="center"/>
            </w:pPr>
            <w:r w:rsidRPr="0015324D">
              <w:rPr>
                <w:sz w:val="22"/>
                <w:szCs w:val="22"/>
              </w:rPr>
              <w:t>(26.1)</w:t>
            </w:r>
          </w:p>
        </w:tc>
      </w:tr>
      <w:tr w:rsidR="00676448" w:rsidRPr="0015324D">
        <w:trPr>
          <w:trHeight w:val="340"/>
        </w:trPr>
        <w:tc>
          <w:tcPr>
            <w:tcW w:w="3686" w:type="pct"/>
            <w:vAlign w:val="center"/>
          </w:tcPr>
          <w:p w:rsidR="00676448" w:rsidRPr="0015324D" w:rsidRDefault="00676448" w:rsidP="00AE25B5">
            <w:pPr>
              <w:ind w:left="360"/>
            </w:pPr>
            <w:r w:rsidRPr="0015324D">
              <w:rPr>
                <w:sz w:val="22"/>
                <w:szCs w:val="22"/>
              </w:rPr>
              <w:t>Higher / ‘A’ Level / National Grade</w:t>
            </w:r>
          </w:p>
        </w:tc>
        <w:tc>
          <w:tcPr>
            <w:tcW w:w="602" w:type="pct"/>
            <w:gridSpan w:val="2"/>
            <w:vAlign w:val="center"/>
          </w:tcPr>
          <w:p w:rsidR="00676448" w:rsidRPr="0015324D" w:rsidRDefault="00676448" w:rsidP="00AE25B5">
            <w:pPr>
              <w:jc w:val="center"/>
            </w:pPr>
            <w:r w:rsidRPr="0015324D">
              <w:rPr>
                <w:sz w:val="22"/>
                <w:szCs w:val="22"/>
              </w:rPr>
              <w:t>728</w:t>
            </w:r>
          </w:p>
        </w:tc>
        <w:tc>
          <w:tcPr>
            <w:tcW w:w="712" w:type="pct"/>
            <w:gridSpan w:val="2"/>
            <w:vAlign w:val="center"/>
          </w:tcPr>
          <w:p w:rsidR="00676448" w:rsidRPr="0015324D" w:rsidRDefault="00676448" w:rsidP="00AE25B5">
            <w:pPr>
              <w:jc w:val="center"/>
            </w:pPr>
            <w:r w:rsidRPr="0015324D">
              <w:rPr>
                <w:sz w:val="22"/>
                <w:szCs w:val="22"/>
              </w:rPr>
              <w:t>(16.8)</w:t>
            </w:r>
          </w:p>
        </w:tc>
      </w:tr>
      <w:tr w:rsidR="00676448" w:rsidRPr="0015324D">
        <w:trPr>
          <w:trHeight w:val="340"/>
        </w:trPr>
        <w:tc>
          <w:tcPr>
            <w:tcW w:w="3686" w:type="pct"/>
            <w:vAlign w:val="center"/>
          </w:tcPr>
          <w:p w:rsidR="00676448" w:rsidRPr="0015324D" w:rsidRDefault="00676448" w:rsidP="00AE25B5">
            <w:pPr>
              <w:ind w:left="360"/>
            </w:pPr>
            <w:r w:rsidRPr="0015324D">
              <w:rPr>
                <w:sz w:val="22"/>
                <w:szCs w:val="22"/>
              </w:rPr>
              <w:t>College qualification</w:t>
            </w:r>
          </w:p>
        </w:tc>
        <w:tc>
          <w:tcPr>
            <w:tcW w:w="602" w:type="pct"/>
            <w:gridSpan w:val="2"/>
            <w:vAlign w:val="center"/>
          </w:tcPr>
          <w:p w:rsidR="00676448" w:rsidRPr="0015324D" w:rsidRDefault="00676448" w:rsidP="00AE25B5">
            <w:pPr>
              <w:jc w:val="center"/>
            </w:pPr>
            <w:r w:rsidRPr="0015324D">
              <w:rPr>
                <w:sz w:val="22"/>
                <w:szCs w:val="22"/>
              </w:rPr>
              <w:t>262</w:t>
            </w:r>
          </w:p>
        </w:tc>
        <w:tc>
          <w:tcPr>
            <w:tcW w:w="712" w:type="pct"/>
            <w:gridSpan w:val="2"/>
            <w:vAlign w:val="center"/>
          </w:tcPr>
          <w:p w:rsidR="00676448" w:rsidRPr="0015324D" w:rsidRDefault="00676448" w:rsidP="00AE25B5">
            <w:pPr>
              <w:jc w:val="center"/>
            </w:pPr>
            <w:r w:rsidRPr="0015324D">
              <w:rPr>
                <w:sz w:val="22"/>
                <w:szCs w:val="22"/>
              </w:rPr>
              <w:t>(6.0)</w:t>
            </w:r>
          </w:p>
        </w:tc>
      </w:tr>
      <w:tr w:rsidR="00676448" w:rsidRPr="0015324D">
        <w:trPr>
          <w:trHeight w:val="340"/>
        </w:trPr>
        <w:tc>
          <w:tcPr>
            <w:tcW w:w="3686" w:type="pct"/>
            <w:vAlign w:val="center"/>
          </w:tcPr>
          <w:p w:rsidR="00676448" w:rsidRPr="0015324D" w:rsidRDefault="00676448" w:rsidP="00AE25B5">
            <w:pPr>
              <w:ind w:left="360"/>
            </w:pPr>
            <w:r w:rsidRPr="0015324D">
              <w:rPr>
                <w:sz w:val="22"/>
                <w:szCs w:val="22"/>
              </w:rPr>
              <w:t>Degree / professional qualification</w:t>
            </w:r>
          </w:p>
        </w:tc>
        <w:tc>
          <w:tcPr>
            <w:tcW w:w="602" w:type="pct"/>
            <w:gridSpan w:val="2"/>
            <w:vAlign w:val="center"/>
          </w:tcPr>
          <w:p w:rsidR="00676448" w:rsidRPr="0015324D" w:rsidRDefault="00676448" w:rsidP="00AE25B5">
            <w:pPr>
              <w:jc w:val="center"/>
            </w:pPr>
            <w:r w:rsidRPr="0015324D">
              <w:rPr>
                <w:sz w:val="22"/>
                <w:szCs w:val="22"/>
              </w:rPr>
              <w:t>1248</w:t>
            </w:r>
          </w:p>
        </w:tc>
        <w:tc>
          <w:tcPr>
            <w:tcW w:w="712" w:type="pct"/>
            <w:gridSpan w:val="2"/>
            <w:vAlign w:val="center"/>
          </w:tcPr>
          <w:p w:rsidR="00676448" w:rsidRPr="0015324D" w:rsidRDefault="00676448" w:rsidP="00AE25B5">
            <w:pPr>
              <w:jc w:val="center"/>
            </w:pPr>
            <w:r w:rsidRPr="0015324D">
              <w:rPr>
                <w:sz w:val="22"/>
                <w:szCs w:val="22"/>
              </w:rPr>
              <w:t>(28.8)</w:t>
            </w:r>
          </w:p>
        </w:tc>
      </w:tr>
      <w:tr w:rsidR="00676448" w:rsidRPr="0015324D">
        <w:trPr>
          <w:trHeight w:val="340"/>
        </w:trPr>
        <w:tc>
          <w:tcPr>
            <w:tcW w:w="3686" w:type="pct"/>
            <w:vAlign w:val="center"/>
          </w:tcPr>
          <w:p w:rsidR="00676448" w:rsidRPr="0015324D" w:rsidRDefault="00676448" w:rsidP="00AE25B5">
            <w:pPr>
              <w:ind w:left="360"/>
            </w:pPr>
            <w:r w:rsidRPr="0015324D">
              <w:rPr>
                <w:sz w:val="22"/>
                <w:szCs w:val="22"/>
              </w:rPr>
              <w:t>Post-graduate qualification</w:t>
            </w:r>
          </w:p>
        </w:tc>
        <w:tc>
          <w:tcPr>
            <w:tcW w:w="602" w:type="pct"/>
            <w:gridSpan w:val="2"/>
            <w:vAlign w:val="center"/>
          </w:tcPr>
          <w:p w:rsidR="00676448" w:rsidRPr="0015324D" w:rsidRDefault="00676448" w:rsidP="00AE25B5">
            <w:pPr>
              <w:jc w:val="center"/>
            </w:pPr>
            <w:r w:rsidRPr="0015324D">
              <w:rPr>
                <w:sz w:val="22"/>
                <w:szCs w:val="22"/>
              </w:rPr>
              <w:t>443</w:t>
            </w:r>
          </w:p>
        </w:tc>
        <w:tc>
          <w:tcPr>
            <w:tcW w:w="712" w:type="pct"/>
            <w:gridSpan w:val="2"/>
            <w:vAlign w:val="center"/>
          </w:tcPr>
          <w:p w:rsidR="00676448" w:rsidRPr="0015324D" w:rsidRDefault="00676448" w:rsidP="00AE25B5">
            <w:pPr>
              <w:jc w:val="center"/>
            </w:pPr>
            <w:r w:rsidRPr="0015324D">
              <w:rPr>
                <w:sz w:val="22"/>
                <w:szCs w:val="22"/>
              </w:rPr>
              <w:t>(10.2)</w:t>
            </w:r>
          </w:p>
        </w:tc>
      </w:tr>
      <w:tr w:rsidR="00676448" w:rsidRPr="00DC0CBC">
        <w:trPr>
          <w:trHeight w:val="340"/>
        </w:trPr>
        <w:tc>
          <w:tcPr>
            <w:tcW w:w="3686" w:type="pct"/>
            <w:vAlign w:val="center"/>
          </w:tcPr>
          <w:p w:rsidR="00676448" w:rsidRPr="00DC0CBC" w:rsidRDefault="00676448" w:rsidP="00AE25B5">
            <w:pPr>
              <w:ind w:left="360"/>
            </w:pPr>
          </w:p>
        </w:tc>
        <w:tc>
          <w:tcPr>
            <w:tcW w:w="602" w:type="pct"/>
            <w:gridSpan w:val="2"/>
            <w:vAlign w:val="center"/>
          </w:tcPr>
          <w:p w:rsidR="00676448" w:rsidRPr="00DC0CBC" w:rsidRDefault="00676448" w:rsidP="00AE25B5">
            <w:pPr>
              <w:jc w:val="center"/>
            </w:pPr>
          </w:p>
        </w:tc>
        <w:tc>
          <w:tcPr>
            <w:tcW w:w="712" w:type="pct"/>
            <w:gridSpan w:val="2"/>
            <w:vAlign w:val="center"/>
          </w:tcPr>
          <w:p w:rsidR="00676448" w:rsidRPr="00DC0CBC" w:rsidRDefault="00676448" w:rsidP="00AE25B5">
            <w:pPr>
              <w:jc w:val="center"/>
            </w:pPr>
          </w:p>
        </w:tc>
      </w:tr>
      <w:tr w:rsidR="00676448" w:rsidRPr="0015324D">
        <w:trPr>
          <w:trHeight w:val="340"/>
        </w:trPr>
        <w:tc>
          <w:tcPr>
            <w:tcW w:w="3686" w:type="pct"/>
            <w:vAlign w:val="center"/>
          </w:tcPr>
          <w:p w:rsidR="00676448" w:rsidRPr="0015324D" w:rsidRDefault="00676448" w:rsidP="00AE25B5">
            <w:r w:rsidRPr="0015324D">
              <w:rPr>
                <w:sz w:val="22"/>
                <w:szCs w:val="22"/>
              </w:rPr>
              <w:t>Employment status (N= 4372)</w:t>
            </w:r>
          </w:p>
        </w:tc>
        <w:tc>
          <w:tcPr>
            <w:tcW w:w="602" w:type="pct"/>
            <w:gridSpan w:val="2"/>
            <w:vAlign w:val="center"/>
          </w:tcPr>
          <w:p w:rsidR="00676448" w:rsidRPr="0015324D" w:rsidRDefault="00676448" w:rsidP="00AE25B5">
            <w:pPr>
              <w:ind w:firstLine="28"/>
              <w:jc w:val="center"/>
            </w:pPr>
          </w:p>
        </w:tc>
        <w:tc>
          <w:tcPr>
            <w:tcW w:w="712" w:type="pct"/>
            <w:gridSpan w:val="2"/>
            <w:vAlign w:val="center"/>
          </w:tcPr>
          <w:p w:rsidR="00676448" w:rsidRPr="0015324D" w:rsidRDefault="00676448" w:rsidP="00AE25B5">
            <w:pPr>
              <w:ind w:left="-106" w:right="791"/>
              <w:jc w:val="right"/>
            </w:pPr>
          </w:p>
        </w:tc>
      </w:tr>
      <w:tr w:rsidR="00676448" w:rsidRPr="0015324D">
        <w:trPr>
          <w:trHeight w:val="340"/>
        </w:trPr>
        <w:tc>
          <w:tcPr>
            <w:tcW w:w="3686" w:type="pct"/>
            <w:vAlign w:val="center"/>
          </w:tcPr>
          <w:p w:rsidR="00676448" w:rsidRPr="0015324D" w:rsidRDefault="00676448" w:rsidP="00AE25B5">
            <w:pPr>
              <w:ind w:left="360"/>
            </w:pPr>
            <w:r w:rsidRPr="0015324D">
              <w:rPr>
                <w:sz w:val="22"/>
                <w:szCs w:val="22"/>
              </w:rPr>
              <w:t>Full-time job (≥30 hrs a week)</w:t>
            </w:r>
          </w:p>
        </w:tc>
        <w:tc>
          <w:tcPr>
            <w:tcW w:w="602" w:type="pct"/>
            <w:gridSpan w:val="2"/>
            <w:vAlign w:val="center"/>
          </w:tcPr>
          <w:p w:rsidR="00676448" w:rsidRPr="0015324D" w:rsidRDefault="00676448" w:rsidP="00AE25B5">
            <w:pPr>
              <w:ind w:firstLine="28"/>
              <w:jc w:val="center"/>
            </w:pPr>
            <w:r w:rsidRPr="0015324D">
              <w:rPr>
                <w:sz w:val="22"/>
                <w:szCs w:val="22"/>
              </w:rPr>
              <w:t>2132</w:t>
            </w:r>
          </w:p>
        </w:tc>
        <w:tc>
          <w:tcPr>
            <w:tcW w:w="712" w:type="pct"/>
            <w:gridSpan w:val="2"/>
            <w:vAlign w:val="center"/>
          </w:tcPr>
          <w:p w:rsidR="00676448" w:rsidRPr="0015324D" w:rsidRDefault="00676448" w:rsidP="00AE25B5">
            <w:pPr>
              <w:jc w:val="center"/>
            </w:pPr>
            <w:r w:rsidRPr="0015324D">
              <w:rPr>
                <w:sz w:val="22"/>
                <w:szCs w:val="22"/>
              </w:rPr>
              <w:t>(48.8)</w:t>
            </w:r>
          </w:p>
        </w:tc>
      </w:tr>
      <w:tr w:rsidR="00676448" w:rsidRPr="0015324D">
        <w:trPr>
          <w:trHeight w:val="340"/>
        </w:trPr>
        <w:tc>
          <w:tcPr>
            <w:tcW w:w="3686" w:type="pct"/>
            <w:vAlign w:val="center"/>
          </w:tcPr>
          <w:p w:rsidR="00676448" w:rsidRPr="0015324D" w:rsidRDefault="00676448" w:rsidP="00AE25B5">
            <w:pPr>
              <w:ind w:left="360"/>
            </w:pPr>
            <w:r w:rsidRPr="0015324D">
              <w:rPr>
                <w:sz w:val="22"/>
                <w:szCs w:val="22"/>
              </w:rPr>
              <w:t>Part-time job (&lt;30 hrs a week)</w:t>
            </w:r>
          </w:p>
        </w:tc>
        <w:tc>
          <w:tcPr>
            <w:tcW w:w="602" w:type="pct"/>
            <w:gridSpan w:val="2"/>
            <w:vAlign w:val="center"/>
          </w:tcPr>
          <w:p w:rsidR="00676448" w:rsidRPr="0015324D" w:rsidRDefault="00676448" w:rsidP="00AE25B5">
            <w:pPr>
              <w:ind w:firstLine="28"/>
              <w:jc w:val="center"/>
            </w:pPr>
            <w:r w:rsidRPr="0015324D">
              <w:rPr>
                <w:sz w:val="22"/>
                <w:szCs w:val="22"/>
              </w:rPr>
              <w:t>1251</w:t>
            </w:r>
          </w:p>
        </w:tc>
        <w:tc>
          <w:tcPr>
            <w:tcW w:w="712" w:type="pct"/>
            <w:gridSpan w:val="2"/>
            <w:vAlign w:val="center"/>
          </w:tcPr>
          <w:p w:rsidR="00676448" w:rsidRPr="0015324D" w:rsidRDefault="00676448" w:rsidP="00AE25B5">
            <w:pPr>
              <w:jc w:val="center"/>
            </w:pPr>
            <w:r w:rsidRPr="0015324D">
              <w:rPr>
                <w:sz w:val="22"/>
                <w:szCs w:val="22"/>
              </w:rPr>
              <w:t>(28.6)</w:t>
            </w:r>
          </w:p>
        </w:tc>
      </w:tr>
      <w:tr w:rsidR="00676448" w:rsidRPr="0015324D">
        <w:trPr>
          <w:trHeight w:val="404"/>
        </w:trPr>
        <w:tc>
          <w:tcPr>
            <w:tcW w:w="3686" w:type="pct"/>
            <w:vAlign w:val="center"/>
          </w:tcPr>
          <w:p w:rsidR="00676448" w:rsidRPr="0015324D" w:rsidRDefault="00676448" w:rsidP="00AE25B5">
            <w:pPr>
              <w:ind w:left="360"/>
            </w:pPr>
            <w:r w:rsidRPr="0015324D">
              <w:rPr>
                <w:sz w:val="22"/>
                <w:szCs w:val="22"/>
              </w:rPr>
              <w:t>Self-employed</w:t>
            </w:r>
          </w:p>
        </w:tc>
        <w:tc>
          <w:tcPr>
            <w:tcW w:w="602" w:type="pct"/>
            <w:gridSpan w:val="2"/>
            <w:vAlign w:val="center"/>
          </w:tcPr>
          <w:p w:rsidR="00676448" w:rsidRPr="0015324D" w:rsidRDefault="00676448" w:rsidP="00AE25B5">
            <w:pPr>
              <w:ind w:firstLine="28"/>
              <w:jc w:val="center"/>
            </w:pPr>
            <w:r w:rsidRPr="0015324D">
              <w:rPr>
                <w:sz w:val="22"/>
                <w:szCs w:val="22"/>
              </w:rPr>
              <w:t>299</w:t>
            </w:r>
          </w:p>
        </w:tc>
        <w:tc>
          <w:tcPr>
            <w:tcW w:w="712" w:type="pct"/>
            <w:gridSpan w:val="2"/>
            <w:vAlign w:val="center"/>
          </w:tcPr>
          <w:p w:rsidR="00676448" w:rsidRPr="0015324D" w:rsidRDefault="00676448" w:rsidP="00AE25B5">
            <w:pPr>
              <w:jc w:val="center"/>
            </w:pPr>
            <w:r w:rsidRPr="0015324D">
              <w:rPr>
                <w:sz w:val="22"/>
                <w:szCs w:val="22"/>
              </w:rPr>
              <w:t>(6.8)</w:t>
            </w:r>
          </w:p>
        </w:tc>
      </w:tr>
      <w:tr w:rsidR="00676448" w:rsidRPr="0015324D">
        <w:trPr>
          <w:trHeight w:val="340"/>
        </w:trPr>
        <w:tc>
          <w:tcPr>
            <w:tcW w:w="3686" w:type="pct"/>
            <w:vAlign w:val="center"/>
          </w:tcPr>
          <w:p w:rsidR="00676448" w:rsidRPr="0015324D" w:rsidRDefault="00676448" w:rsidP="00AE25B5">
            <w:pPr>
              <w:ind w:left="360"/>
            </w:pPr>
            <w:r w:rsidRPr="0015324D">
              <w:rPr>
                <w:sz w:val="22"/>
                <w:szCs w:val="22"/>
              </w:rPr>
              <w:t>Unable to work owing to illness or disability</w:t>
            </w:r>
          </w:p>
        </w:tc>
        <w:tc>
          <w:tcPr>
            <w:tcW w:w="602" w:type="pct"/>
            <w:gridSpan w:val="2"/>
            <w:vAlign w:val="center"/>
          </w:tcPr>
          <w:p w:rsidR="00676448" w:rsidRPr="0015324D" w:rsidRDefault="00676448" w:rsidP="00AE25B5">
            <w:pPr>
              <w:ind w:firstLine="28"/>
              <w:jc w:val="center"/>
            </w:pPr>
            <w:r w:rsidRPr="0015324D">
              <w:rPr>
                <w:sz w:val="22"/>
                <w:szCs w:val="22"/>
              </w:rPr>
              <w:t>225</w:t>
            </w:r>
          </w:p>
        </w:tc>
        <w:tc>
          <w:tcPr>
            <w:tcW w:w="712" w:type="pct"/>
            <w:gridSpan w:val="2"/>
            <w:vAlign w:val="center"/>
          </w:tcPr>
          <w:p w:rsidR="00676448" w:rsidRPr="0015324D" w:rsidRDefault="00676448" w:rsidP="00AE25B5">
            <w:pPr>
              <w:jc w:val="center"/>
            </w:pPr>
            <w:r w:rsidRPr="0015324D">
              <w:rPr>
                <w:sz w:val="22"/>
                <w:szCs w:val="22"/>
              </w:rPr>
              <w:t>(5.1)</w:t>
            </w:r>
          </w:p>
        </w:tc>
      </w:tr>
      <w:tr w:rsidR="00676448" w:rsidRPr="0015324D">
        <w:trPr>
          <w:trHeight w:val="340"/>
        </w:trPr>
        <w:tc>
          <w:tcPr>
            <w:tcW w:w="3686" w:type="pct"/>
            <w:vAlign w:val="center"/>
          </w:tcPr>
          <w:p w:rsidR="00676448" w:rsidRPr="0015324D" w:rsidRDefault="00676448" w:rsidP="00AE25B5">
            <w:pPr>
              <w:ind w:left="360"/>
            </w:pPr>
            <w:r w:rsidRPr="0015324D">
              <w:rPr>
                <w:sz w:val="22"/>
                <w:szCs w:val="22"/>
              </w:rPr>
              <w:t>Not in paid employment</w:t>
            </w:r>
          </w:p>
        </w:tc>
        <w:tc>
          <w:tcPr>
            <w:tcW w:w="602" w:type="pct"/>
            <w:gridSpan w:val="2"/>
            <w:vAlign w:val="center"/>
          </w:tcPr>
          <w:p w:rsidR="00676448" w:rsidRPr="0015324D" w:rsidRDefault="00676448" w:rsidP="00AE25B5">
            <w:pPr>
              <w:ind w:firstLine="28"/>
              <w:jc w:val="center"/>
            </w:pPr>
            <w:r w:rsidRPr="0015324D">
              <w:rPr>
                <w:sz w:val="22"/>
                <w:szCs w:val="22"/>
              </w:rPr>
              <w:t>465</w:t>
            </w:r>
          </w:p>
        </w:tc>
        <w:tc>
          <w:tcPr>
            <w:tcW w:w="712" w:type="pct"/>
            <w:gridSpan w:val="2"/>
            <w:vAlign w:val="center"/>
          </w:tcPr>
          <w:p w:rsidR="00676448" w:rsidRPr="0015324D" w:rsidRDefault="00676448" w:rsidP="00AE25B5">
            <w:pPr>
              <w:jc w:val="center"/>
            </w:pPr>
            <w:r w:rsidRPr="0015324D">
              <w:rPr>
                <w:sz w:val="22"/>
                <w:szCs w:val="22"/>
              </w:rPr>
              <w:t>(10.6)</w:t>
            </w:r>
          </w:p>
        </w:tc>
      </w:tr>
      <w:tr w:rsidR="00676448" w:rsidRPr="0015324D">
        <w:trPr>
          <w:trHeight w:val="340"/>
        </w:trPr>
        <w:tc>
          <w:tcPr>
            <w:tcW w:w="3686" w:type="pct"/>
            <w:vAlign w:val="center"/>
          </w:tcPr>
          <w:p w:rsidR="00676448" w:rsidRPr="0015324D" w:rsidRDefault="00676448" w:rsidP="00AE25B5">
            <w:pPr>
              <w:ind w:left="851"/>
            </w:pPr>
            <w:r w:rsidRPr="0015324D">
              <w:rPr>
                <w:sz w:val="22"/>
                <w:szCs w:val="22"/>
              </w:rPr>
              <w:t>Unemployed and looking for work</w:t>
            </w:r>
          </w:p>
        </w:tc>
        <w:tc>
          <w:tcPr>
            <w:tcW w:w="602" w:type="pct"/>
            <w:gridSpan w:val="2"/>
            <w:vAlign w:val="center"/>
          </w:tcPr>
          <w:p w:rsidR="00676448" w:rsidRPr="0015324D" w:rsidRDefault="00676448" w:rsidP="00AE25B5">
            <w:pPr>
              <w:ind w:firstLine="28"/>
              <w:jc w:val="center"/>
            </w:pPr>
            <w:r w:rsidRPr="0015324D">
              <w:rPr>
                <w:sz w:val="22"/>
                <w:szCs w:val="22"/>
              </w:rPr>
              <w:t>84</w:t>
            </w:r>
          </w:p>
        </w:tc>
        <w:tc>
          <w:tcPr>
            <w:tcW w:w="712" w:type="pct"/>
            <w:gridSpan w:val="2"/>
            <w:vAlign w:val="center"/>
          </w:tcPr>
          <w:p w:rsidR="00676448" w:rsidRPr="0015324D" w:rsidRDefault="00676448" w:rsidP="00AE25B5">
            <w:pPr>
              <w:jc w:val="center"/>
            </w:pPr>
            <w:r w:rsidRPr="0015324D">
              <w:rPr>
                <w:sz w:val="22"/>
                <w:szCs w:val="22"/>
              </w:rPr>
              <w:t>(1.9)</w:t>
            </w:r>
          </w:p>
        </w:tc>
      </w:tr>
      <w:tr w:rsidR="00676448" w:rsidRPr="0015324D">
        <w:trPr>
          <w:trHeight w:val="340"/>
        </w:trPr>
        <w:tc>
          <w:tcPr>
            <w:tcW w:w="3686" w:type="pct"/>
            <w:vAlign w:val="center"/>
          </w:tcPr>
          <w:p w:rsidR="00676448" w:rsidRPr="0015324D" w:rsidRDefault="00676448" w:rsidP="00AE25B5">
            <w:pPr>
              <w:ind w:left="851"/>
            </w:pPr>
            <w:r w:rsidRPr="0015324D">
              <w:rPr>
                <w:sz w:val="22"/>
                <w:szCs w:val="22"/>
              </w:rPr>
              <w:t>At home and not looking for paid employment</w:t>
            </w:r>
          </w:p>
        </w:tc>
        <w:tc>
          <w:tcPr>
            <w:tcW w:w="602" w:type="pct"/>
            <w:gridSpan w:val="2"/>
            <w:vAlign w:val="center"/>
          </w:tcPr>
          <w:p w:rsidR="00676448" w:rsidRPr="0015324D" w:rsidRDefault="00676448" w:rsidP="00AE25B5">
            <w:pPr>
              <w:ind w:firstLine="28"/>
              <w:jc w:val="center"/>
            </w:pPr>
            <w:r w:rsidRPr="0015324D">
              <w:rPr>
                <w:sz w:val="22"/>
                <w:szCs w:val="22"/>
              </w:rPr>
              <w:t>283</w:t>
            </w:r>
          </w:p>
        </w:tc>
        <w:tc>
          <w:tcPr>
            <w:tcW w:w="712" w:type="pct"/>
            <w:gridSpan w:val="2"/>
            <w:vAlign w:val="center"/>
          </w:tcPr>
          <w:p w:rsidR="00676448" w:rsidRPr="0015324D" w:rsidRDefault="00676448" w:rsidP="00AE25B5">
            <w:pPr>
              <w:jc w:val="center"/>
            </w:pPr>
            <w:r w:rsidRPr="0015324D">
              <w:rPr>
                <w:sz w:val="22"/>
                <w:szCs w:val="22"/>
              </w:rPr>
              <w:t>(6.5)</w:t>
            </w:r>
          </w:p>
        </w:tc>
      </w:tr>
      <w:tr w:rsidR="00676448" w:rsidRPr="0015324D">
        <w:trPr>
          <w:trHeight w:val="340"/>
        </w:trPr>
        <w:tc>
          <w:tcPr>
            <w:tcW w:w="3686" w:type="pct"/>
            <w:vAlign w:val="center"/>
          </w:tcPr>
          <w:p w:rsidR="00676448" w:rsidRPr="0015324D" w:rsidRDefault="00676448" w:rsidP="00AE25B5">
            <w:pPr>
              <w:ind w:left="851"/>
            </w:pPr>
            <w:r w:rsidRPr="0015324D">
              <w:rPr>
                <w:sz w:val="22"/>
                <w:szCs w:val="22"/>
              </w:rPr>
              <w:t>Carer</w:t>
            </w:r>
          </w:p>
        </w:tc>
        <w:tc>
          <w:tcPr>
            <w:tcW w:w="602" w:type="pct"/>
            <w:gridSpan w:val="2"/>
            <w:vAlign w:val="center"/>
          </w:tcPr>
          <w:p w:rsidR="00676448" w:rsidRPr="0015324D" w:rsidRDefault="00676448" w:rsidP="00AE25B5">
            <w:pPr>
              <w:ind w:firstLine="28"/>
              <w:jc w:val="center"/>
            </w:pPr>
            <w:r w:rsidRPr="0015324D">
              <w:rPr>
                <w:sz w:val="22"/>
                <w:szCs w:val="22"/>
              </w:rPr>
              <w:t>48</w:t>
            </w:r>
          </w:p>
        </w:tc>
        <w:tc>
          <w:tcPr>
            <w:tcW w:w="712" w:type="pct"/>
            <w:gridSpan w:val="2"/>
            <w:vAlign w:val="center"/>
          </w:tcPr>
          <w:p w:rsidR="00676448" w:rsidRPr="0015324D" w:rsidRDefault="00676448" w:rsidP="00AE25B5">
            <w:pPr>
              <w:jc w:val="center"/>
            </w:pPr>
            <w:r w:rsidRPr="0015324D">
              <w:rPr>
                <w:sz w:val="22"/>
                <w:szCs w:val="22"/>
              </w:rPr>
              <w:t>(1.1)</w:t>
            </w:r>
          </w:p>
        </w:tc>
      </w:tr>
      <w:tr w:rsidR="00676448" w:rsidRPr="0015324D">
        <w:trPr>
          <w:trHeight w:val="340"/>
        </w:trPr>
        <w:tc>
          <w:tcPr>
            <w:tcW w:w="3686" w:type="pct"/>
            <w:vAlign w:val="center"/>
          </w:tcPr>
          <w:p w:rsidR="00676448" w:rsidRPr="0015324D" w:rsidRDefault="00676448" w:rsidP="00AE25B5">
            <w:pPr>
              <w:ind w:left="851"/>
            </w:pPr>
            <w:r w:rsidRPr="0015324D">
              <w:rPr>
                <w:sz w:val="22"/>
                <w:szCs w:val="22"/>
              </w:rPr>
              <w:t>Volunteer</w:t>
            </w:r>
          </w:p>
        </w:tc>
        <w:tc>
          <w:tcPr>
            <w:tcW w:w="602" w:type="pct"/>
            <w:gridSpan w:val="2"/>
            <w:vAlign w:val="center"/>
          </w:tcPr>
          <w:p w:rsidR="00676448" w:rsidRPr="0015324D" w:rsidRDefault="00676448" w:rsidP="00AE25B5">
            <w:pPr>
              <w:ind w:firstLine="28"/>
              <w:jc w:val="center"/>
            </w:pPr>
            <w:r w:rsidRPr="0015324D">
              <w:rPr>
                <w:sz w:val="22"/>
                <w:szCs w:val="22"/>
              </w:rPr>
              <w:t>13</w:t>
            </w:r>
          </w:p>
        </w:tc>
        <w:tc>
          <w:tcPr>
            <w:tcW w:w="712" w:type="pct"/>
            <w:gridSpan w:val="2"/>
            <w:vAlign w:val="center"/>
          </w:tcPr>
          <w:p w:rsidR="00676448" w:rsidRPr="0015324D" w:rsidRDefault="00676448" w:rsidP="00AE25B5">
            <w:pPr>
              <w:jc w:val="center"/>
            </w:pPr>
            <w:r w:rsidRPr="0015324D">
              <w:rPr>
                <w:sz w:val="22"/>
                <w:szCs w:val="22"/>
              </w:rPr>
              <w:t>(0.3)</w:t>
            </w:r>
          </w:p>
        </w:tc>
      </w:tr>
      <w:tr w:rsidR="00676448" w:rsidRPr="0015324D">
        <w:trPr>
          <w:trHeight w:val="340"/>
        </w:trPr>
        <w:tc>
          <w:tcPr>
            <w:tcW w:w="3686" w:type="pct"/>
            <w:vAlign w:val="center"/>
          </w:tcPr>
          <w:p w:rsidR="00676448" w:rsidRPr="0015324D" w:rsidRDefault="00676448" w:rsidP="00AE25B5">
            <w:pPr>
              <w:ind w:left="851"/>
            </w:pPr>
            <w:r w:rsidRPr="0015324D">
              <w:rPr>
                <w:sz w:val="22"/>
                <w:szCs w:val="22"/>
              </w:rPr>
              <w:t>Student</w:t>
            </w:r>
          </w:p>
        </w:tc>
        <w:tc>
          <w:tcPr>
            <w:tcW w:w="602" w:type="pct"/>
            <w:gridSpan w:val="2"/>
            <w:vAlign w:val="center"/>
          </w:tcPr>
          <w:p w:rsidR="00676448" w:rsidRPr="0015324D" w:rsidRDefault="00676448" w:rsidP="00AE25B5">
            <w:pPr>
              <w:ind w:firstLine="28"/>
              <w:jc w:val="center"/>
            </w:pPr>
            <w:r w:rsidRPr="0015324D">
              <w:rPr>
                <w:sz w:val="22"/>
                <w:szCs w:val="22"/>
              </w:rPr>
              <w:t>13</w:t>
            </w:r>
          </w:p>
        </w:tc>
        <w:tc>
          <w:tcPr>
            <w:tcW w:w="712" w:type="pct"/>
            <w:gridSpan w:val="2"/>
            <w:vAlign w:val="center"/>
          </w:tcPr>
          <w:p w:rsidR="00676448" w:rsidRPr="0015324D" w:rsidRDefault="00676448" w:rsidP="00AE25B5">
            <w:pPr>
              <w:jc w:val="center"/>
            </w:pPr>
            <w:r w:rsidRPr="0015324D">
              <w:rPr>
                <w:sz w:val="22"/>
                <w:szCs w:val="22"/>
              </w:rPr>
              <w:t>(0.3)</w:t>
            </w:r>
          </w:p>
        </w:tc>
      </w:tr>
      <w:tr w:rsidR="00676448" w:rsidRPr="0015324D">
        <w:trPr>
          <w:trHeight w:val="340"/>
        </w:trPr>
        <w:tc>
          <w:tcPr>
            <w:tcW w:w="3686" w:type="pct"/>
            <w:vAlign w:val="center"/>
          </w:tcPr>
          <w:p w:rsidR="00676448" w:rsidRPr="0015324D" w:rsidRDefault="00676448" w:rsidP="00AE25B5">
            <w:pPr>
              <w:ind w:left="851"/>
            </w:pPr>
            <w:r w:rsidRPr="0015324D">
              <w:rPr>
                <w:sz w:val="22"/>
                <w:szCs w:val="22"/>
              </w:rPr>
              <w:t>Retired</w:t>
            </w:r>
          </w:p>
        </w:tc>
        <w:tc>
          <w:tcPr>
            <w:tcW w:w="602" w:type="pct"/>
            <w:gridSpan w:val="2"/>
            <w:vAlign w:val="center"/>
          </w:tcPr>
          <w:p w:rsidR="00676448" w:rsidRPr="0015324D" w:rsidRDefault="00676448" w:rsidP="00AE25B5">
            <w:pPr>
              <w:ind w:firstLine="28"/>
              <w:jc w:val="center"/>
            </w:pPr>
            <w:r w:rsidRPr="0015324D">
              <w:rPr>
                <w:sz w:val="22"/>
                <w:szCs w:val="22"/>
              </w:rPr>
              <w:t>24</w:t>
            </w:r>
          </w:p>
        </w:tc>
        <w:tc>
          <w:tcPr>
            <w:tcW w:w="712" w:type="pct"/>
            <w:gridSpan w:val="2"/>
            <w:vAlign w:val="center"/>
          </w:tcPr>
          <w:p w:rsidR="00676448" w:rsidRPr="0015324D" w:rsidRDefault="00676448" w:rsidP="00AE25B5">
            <w:pPr>
              <w:jc w:val="center"/>
            </w:pPr>
            <w:r w:rsidRPr="0015324D">
              <w:rPr>
                <w:sz w:val="22"/>
                <w:szCs w:val="22"/>
              </w:rPr>
              <w:t>(0.5)</w:t>
            </w:r>
          </w:p>
        </w:tc>
      </w:tr>
      <w:tr w:rsidR="00676448" w:rsidRPr="00182CAE">
        <w:trPr>
          <w:trHeight w:val="340"/>
        </w:trPr>
        <w:tc>
          <w:tcPr>
            <w:tcW w:w="3749" w:type="pct"/>
            <w:gridSpan w:val="2"/>
            <w:vAlign w:val="center"/>
          </w:tcPr>
          <w:p w:rsidR="00676448" w:rsidRPr="0015324D" w:rsidRDefault="00676448" w:rsidP="00E61CAB">
            <w:pPr>
              <w:ind w:left="57"/>
            </w:pPr>
          </w:p>
        </w:tc>
        <w:tc>
          <w:tcPr>
            <w:tcW w:w="590" w:type="pct"/>
            <w:gridSpan w:val="2"/>
            <w:vAlign w:val="center"/>
          </w:tcPr>
          <w:p w:rsidR="00676448" w:rsidRPr="0015324D" w:rsidRDefault="00676448" w:rsidP="00E61CAB">
            <w:pPr>
              <w:ind w:firstLine="30"/>
              <w:jc w:val="center"/>
            </w:pPr>
          </w:p>
        </w:tc>
        <w:tc>
          <w:tcPr>
            <w:tcW w:w="661" w:type="pct"/>
            <w:vAlign w:val="center"/>
          </w:tcPr>
          <w:p w:rsidR="00676448" w:rsidRPr="0015324D" w:rsidRDefault="00676448" w:rsidP="00E61CAB">
            <w:pPr>
              <w:jc w:val="center"/>
            </w:pPr>
          </w:p>
        </w:tc>
      </w:tr>
      <w:tr w:rsidR="00676448" w:rsidRPr="00182CAE">
        <w:trPr>
          <w:trHeight w:val="340"/>
        </w:trPr>
        <w:tc>
          <w:tcPr>
            <w:tcW w:w="3749" w:type="pct"/>
            <w:gridSpan w:val="2"/>
            <w:vAlign w:val="center"/>
          </w:tcPr>
          <w:p w:rsidR="00676448" w:rsidRPr="00D95718" w:rsidRDefault="00676448" w:rsidP="00E61CAB">
            <w:pPr>
              <w:ind w:left="57"/>
            </w:pPr>
            <w:r w:rsidRPr="00D95718">
              <w:rPr>
                <w:sz w:val="22"/>
                <w:szCs w:val="22"/>
              </w:rPr>
              <w:t>Menopause status (N=4407)</w:t>
            </w:r>
          </w:p>
        </w:tc>
        <w:tc>
          <w:tcPr>
            <w:tcW w:w="590" w:type="pct"/>
            <w:gridSpan w:val="2"/>
            <w:vAlign w:val="center"/>
          </w:tcPr>
          <w:p w:rsidR="00676448" w:rsidRPr="00D95718" w:rsidRDefault="00676448" w:rsidP="00E61CAB">
            <w:pPr>
              <w:ind w:firstLine="30"/>
              <w:jc w:val="center"/>
            </w:pPr>
          </w:p>
        </w:tc>
        <w:tc>
          <w:tcPr>
            <w:tcW w:w="661" w:type="pct"/>
            <w:vAlign w:val="center"/>
          </w:tcPr>
          <w:p w:rsidR="00676448" w:rsidRPr="00D95718" w:rsidRDefault="00676448" w:rsidP="00E61CAB">
            <w:pPr>
              <w:jc w:val="center"/>
            </w:pPr>
          </w:p>
        </w:tc>
      </w:tr>
      <w:tr w:rsidR="00676448" w:rsidRPr="00182CAE">
        <w:trPr>
          <w:trHeight w:val="340"/>
        </w:trPr>
        <w:tc>
          <w:tcPr>
            <w:tcW w:w="3749" w:type="pct"/>
            <w:gridSpan w:val="2"/>
            <w:vAlign w:val="center"/>
          </w:tcPr>
          <w:p w:rsidR="00676448" w:rsidRPr="00D95718" w:rsidRDefault="00676448" w:rsidP="00E61CAB">
            <w:pPr>
              <w:ind w:left="360"/>
            </w:pPr>
            <w:r w:rsidRPr="00D95718">
              <w:rPr>
                <w:sz w:val="22"/>
                <w:szCs w:val="22"/>
              </w:rPr>
              <w:t>Premenopausal</w:t>
            </w:r>
          </w:p>
        </w:tc>
        <w:tc>
          <w:tcPr>
            <w:tcW w:w="590" w:type="pct"/>
            <w:gridSpan w:val="2"/>
            <w:vAlign w:val="center"/>
          </w:tcPr>
          <w:p w:rsidR="00676448" w:rsidRPr="00D95718" w:rsidRDefault="00676448" w:rsidP="00E61CAB">
            <w:pPr>
              <w:ind w:firstLine="30"/>
              <w:jc w:val="center"/>
            </w:pPr>
            <w:r w:rsidRPr="00D95718">
              <w:rPr>
                <w:sz w:val="22"/>
                <w:szCs w:val="22"/>
              </w:rPr>
              <w:t>1101</w:t>
            </w:r>
          </w:p>
        </w:tc>
        <w:tc>
          <w:tcPr>
            <w:tcW w:w="661" w:type="pct"/>
            <w:vAlign w:val="center"/>
          </w:tcPr>
          <w:p w:rsidR="00676448" w:rsidRPr="00D95718" w:rsidRDefault="00676448" w:rsidP="00E61CAB">
            <w:pPr>
              <w:jc w:val="center"/>
            </w:pPr>
            <w:r w:rsidRPr="00D95718">
              <w:rPr>
                <w:sz w:val="22"/>
                <w:szCs w:val="22"/>
              </w:rPr>
              <w:t>(25.0)</w:t>
            </w:r>
          </w:p>
        </w:tc>
      </w:tr>
      <w:tr w:rsidR="00676448" w:rsidRPr="00182CAE">
        <w:trPr>
          <w:trHeight w:val="340"/>
        </w:trPr>
        <w:tc>
          <w:tcPr>
            <w:tcW w:w="3749" w:type="pct"/>
            <w:gridSpan w:val="2"/>
            <w:vAlign w:val="center"/>
          </w:tcPr>
          <w:p w:rsidR="00676448" w:rsidRPr="00D95718" w:rsidRDefault="00676448" w:rsidP="00E61CAB">
            <w:pPr>
              <w:ind w:left="360"/>
            </w:pPr>
            <w:proofErr w:type="spellStart"/>
            <w:r w:rsidRPr="00D95718">
              <w:rPr>
                <w:sz w:val="22"/>
                <w:szCs w:val="22"/>
              </w:rPr>
              <w:t>Perimenopausal</w:t>
            </w:r>
            <w:proofErr w:type="spellEnd"/>
          </w:p>
        </w:tc>
        <w:tc>
          <w:tcPr>
            <w:tcW w:w="590" w:type="pct"/>
            <w:gridSpan w:val="2"/>
            <w:vAlign w:val="center"/>
          </w:tcPr>
          <w:p w:rsidR="00676448" w:rsidRPr="00D95718" w:rsidRDefault="00676448" w:rsidP="00E61CAB">
            <w:pPr>
              <w:ind w:firstLine="30"/>
              <w:jc w:val="center"/>
            </w:pPr>
            <w:r w:rsidRPr="00D95718">
              <w:rPr>
                <w:sz w:val="22"/>
                <w:szCs w:val="22"/>
              </w:rPr>
              <w:t>1225</w:t>
            </w:r>
          </w:p>
        </w:tc>
        <w:tc>
          <w:tcPr>
            <w:tcW w:w="661" w:type="pct"/>
            <w:vAlign w:val="center"/>
          </w:tcPr>
          <w:p w:rsidR="00676448" w:rsidRPr="00D95718" w:rsidRDefault="00676448" w:rsidP="00E61CAB">
            <w:pPr>
              <w:jc w:val="center"/>
            </w:pPr>
            <w:r w:rsidRPr="00D95718">
              <w:rPr>
                <w:sz w:val="22"/>
                <w:szCs w:val="22"/>
              </w:rPr>
              <w:t>(27.8)</w:t>
            </w:r>
          </w:p>
        </w:tc>
      </w:tr>
      <w:tr w:rsidR="00676448" w:rsidRPr="00182CAE">
        <w:trPr>
          <w:trHeight w:val="340"/>
        </w:trPr>
        <w:tc>
          <w:tcPr>
            <w:tcW w:w="3749" w:type="pct"/>
            <w:gridSpan w:val="2"/>
            <w:vAlign w:val="center"/>
          </w:tcPr>
          <w:p w:rsidR="00676448" w:rsidRPr="00D95718" w:rsidRDefault="00676448" w:rsidP="00E61CAB">
            <w:pPr>
              <w:ind w:left="360"/>
            </w:pPr>
            <w:r w:rsidRPr="00D95718">
              <w:rPr>
                <w:sz w:val="22"/>
                <w:szCs w:val="22"/>
              </w:rPr>
              <w:t>Postmenopausal</w:t>
            </w:r>
          </w:p>
        </w:tc>
        <w:tc>
          <w:tcPr>
            <w:tcW w:w="590" w:type="pct"/>
            <w:gridSpan w:val="2"/>
            <w:vAlign w:val="center"/>
          </w:tcPr>
          <w:p w:rsidR="00676448" w:rsidRPr="00D95718" w:rsidRDefault="00676448" w:rsidP="00E61CAB">
            <w:pPr>
              <w:ind w:firstLine="30"/>
              <w:jc w:val="center"/>
            </w:pPr>
            <w:r w:rsidRPr="00D95718">
              <w:rPr>
                <w:sz w:val="22"/>
                <w:szCs w:val="22"/>
              </w:rPr>
              <w:t>955</w:t>
            </w:r>
          </w:p>
        </w:tc>
        <w:tc>
          <w:tcPr>
            <w:tcW w:w="661" w:type="pct"/>
            <w:vAlign w:val="center"/>
          </w:tcPr>
          <w:p w:rsidR="00676448" w:rsidRPr="00D95718" w:rsidRDefault="00676448" w:rsidP="00E61CAB">
            <w:pPr>
              <w:jc w:val="center"/>
            </w:pPr>
            <w:r w:rsidRPr="00D95718">
              <w:rPr>
                <w:sz w:val="22"/>
                <w:szCs w:val="22"/>
              </w:rPr>
              <w:t>(21.7)</w:t>
            </w:r>
          </w:p>
        </w:tc>
      </w:tr>
      <w:tr w:rsidR="00676448" w:rsidRPr="00182CAE">
        <w:trPr>
          <w:trHeight w:val="340"/>
        </w:trPr>
        <w:tc>
          <w:tcPr>
            <w:tcW w:w="3749" w:type="pct"/>
            <w:gridSpan w:val="2"/>
            <w:vAlign w:val="center"/>
          </w:tcPr>
          <w:p w:rsidR="00676448" w:rsidRPr="00D95718" w:rsidRDefault="00676448" w:rsidP="00E61CAB">
            <w:pPr>
              <w:ind w:left="357"/>
            </w:pPr>
            <w:r w:rsidRPr="00D95718">
              <w:rPr>
                <w:sz w:val="22"/>
                <w:szCs w:val="22"/>
              </w:rPr>
              <w:t>Surgical</w:t>
            </w:r>
          </w:p>
        </w:tc>
        <w:tc>
          <w:tcPr>
            <w:tcW w:w="590" w:type="pct"/>
            <w:gridSpan w:val="2"/>
            <w:vAlign w:val="center"/>
          </w:tcPr>
          <w:p w:rsidR="00676448" w:rsidRPr="00D95718" w:rsidRDefault="00676448" w:rsidP="00E61CAB">
            <w:pPr>
              <w:ind w:firstLine="30"/>
              <w:jc w:val="center"/>
            </w:pPr>
            <w:r w:rsidRPr="00D95718">
              <w:rPr>
                <w:sz w:val="22"/>
                <w:szCs w:val="22"/>
              </w:rPr>
              <w:t>617</w:t>
            </w:r>
          </w:p>
        </w:tc>
        <w:tc>
          <w:tcPr>
            <w:tcW w:w="661" w:type="pct"/>
            <w:vAlign w:val="center"/>
          </w:tcPr>
          <w:p w:rsidR="00676448" w:rsidRPr="00D95718" w:rsidRDefault="00676448" w:rsidP="00E61CAB">
            <w:pPr>
              <w:jc w:val="center"/>
            </w:pPr>
            <w:r w:rsidRPr="00D95718">
              <w:rPr>
                <w:sz w:val="22"/>
                <w:szCs w:val="22"/>
              </w:rPr>
              <w:t>(14.0)</w:t>
            </w:r>
          </w:p>
        </w:tc>
      </w:tr>
      <w:tr w:rsidR="00676448" w:rsidRPr="00182CAE">
        <w:trPr>
          <w:trHeight w:val="340"/>
        </w:trPr>
        <w:tc>
          <w:tcPr>
            <w:tcW w:w="3749" w:type="pct"/>
            <w:gridSpan w:val="2"/>
            <w:vAlign w:val="center"/>
          </w:tcPr>
          <w:p w:rsidR="00676448" w:rsidRPr="00D95718" w:rsidRDefault="00676448" w:rsidP="00E61CAB">
            <w:pPr>
              <w:ind w:left="357"/>
            </w:pPr>
            <w:r w:rsidRPr="00D95718">
              <w:rPr>
                <w:sz w:val="22"/>
                <w:szCs w:val="22"/>
              </w:rPr>
              <w:t>Unclassifiable</w:t>
            </w:r>
            <w:r w:rsidRPr="00A76ACB">
              <w:rPr>
                <w:rStyle w:val="FootnoteReference"/>
                <w:sz w:val="18"/>
                <w:szCs w:val="18"/>
              </w:rPr>
              <w:footnoteReference w:id="3"/>
            </w:r>
          </w:p>
        </w:tc>
        <w:tc>
          <w:tcPr>
            <w:tcW w:w="590" w:type="pct"/>
            <w:gridSpan w:val="2"/>
            <w:vAlign w:val="center"/>
          </w:tcPr>
          <w:p w:rsidR="00676448" w:rsidRPr="00D95718" w:rsidRDefault="00676448" w:rsidP="00E61CAB">
            <w:pPr>
              <w:ind w:firstLine="30"/>
              <w:jc w:val="center"/>
            </w:pPr>
            <w:r w:rsidRPr="00D95718">
              <w:rPr>
                <w:sz w:val="22"/>
                <w:szCs w:val="22"/>
              </w:rPr>
              <w:t>509</w:t>
            </w:r>
          </w:p>
        </w:tc>
        <w:tc>
          <w:tcPr>
            <w:tcW w:w="661" w:type="pct"/>
            <w:vAlign w:val="center"/>
          </w:tcPr>
          <w:p w:rsidR="00676448" w:rsidRPr="00D95718" w:rsidRDefault="00676448" w:rsidP="00E61CAB">
            <w:pPr>
              <w:jc w:val="center"/>
            </w:pPr>
            <w:r w:rsidRPr="00D95718">
              <w:rPr>
                <w:sz w:val="22"/>
                <w:szCs w:val="22"/>
              </w:rPr>
              <w:t>(11.5)</w:t>
            </w:r>
          </w:p>
        </w:tc>
      </w:tr>
    </w:tbl>
    <w:p w:rsidR="00676448" w:rsidRPr="00936412" w:rsidRDefault="00676448" w:rsidP="00AF38A5">
      <w:pPr>
        <w:spacing w:line="360" w:lineRule="auto"/>
        <w:jc w:val="both"/>
        <w:sectPr w:rsidR="00676448" w:rsidRPr="00936412" w:rsidSect="000701AE">
          <w:footnotePr>
            <w:numRestart w:val="eachPage"/>
          </w:footnotePr>
          <w:pgSz w:w="11906" w:h="16838"/>
          <w:pgMar w:top="1440" w:right="1440" w:bottom="1440" w:left="1440" w:header="708" w:footer="708" w:gutter="0"/>
          <w:cols w:space="708"/>
          <w:titlePg/>
          <w:docGrid w:linePitch="360"/>
        </w:sectPr>
      </w:pPr>
    </w:p>
    <w:tbl>
      <w:tblPr>
        <w:tblpPr w:leftFromText="180" w:rightFromText="180" w:vertAnchor="page" w:horzAnchor="margin" w:tblpXSpec="center" w:tblpY="2338"/>
        <w:tblW w:w="15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7"/>
        <w:gridCol w:w="497"/>
        <w:gridCol w:w="498"/>
        <w:gridCol w:w="498"/>
        <w:gridCol w:w="418"/>
        <w:gridCol w:w="570"/>
        <w:gridCol w:w="491"/>
        <w:gridCol w:w="491"/>
        <w:gridCol w:w="428"/>
        <w:gridCol w:w="561"/>
        <w:gridCol w:w="498"/>
        <w:gridCol w:w="498"/>
        <w:gridCol w:w="423"/>
        <w:gridCol w:w="596"/>
        <w:gridCol w:w="498"/>
        <w:gridCol w:w="498"/>
        <w:gridCol w:w="388"/>
        <w:gridCol w:w="500"/>
        <w:gridCol w:w="501"/>
        <w:gridCol w:w="500"/>
        <w:gridCol w:w="499"/>
        <w:gridCol w:w="520"/>
        <w:gridCol w:w="546"/>
        <w:gridCol w:w="494"/>
        <w:gridCol w:w="420"/>
        <w:gridCol w:w="374"/>
        <w:gridCol w:w="495"/>
        <w:gridCol w:w="494"/>
        <w:gridCol w:w="436"/>
      </w:tblGrid>
      <w:tr w:rsidR="00676448" w:rsidRPr="00182CAE">
        <w:trPr>
          <w:trHeight w:val="270"/>
        </w:trPr>
        <w:tc>
          <w:tcPr>
            <w:tcW w:w="2337" w:type="dxa"/>
            <w:vMerge w:val="restart"/>
          </w:tcPr>
          <w:p w:rsidR="00676448" w:rsidRPr="00643000" w:rsidRDefault="00676448" w:rsidP="002D7E42"/>
          <w:p w:rsidR="00676448" w:rsidRPr="00643000" w:rsidRDefault="00676448" w:rsidP="002D7E42">
            <w:pPr>
              <w:rPr>
                <w:sz w:val="20"/>
                <w:szCs w:val="20"/>
              </w:rPr>
            </w:pPr>
            <w:r w:rsidRPr="00643000">
              <w:rPr>
                <w:sz w:val="20"/>
                <w:szCs w:val="20"/>
              </w:rPr>
              <w:t>Symptom</w:t>
            </w:r>
          </w:p>
        </w:tc>
        <w:tc>
          <w:tcPr>
            <w:tcW w:w="1911" w:type="dxa"/>
            <w:gridSpan w:val="4"/>
            <w:vAlign w:val="center"/>
          </w:tcPr>
          <w:p w:rsidR="00676448" w:rsidRPr="00643000" w:rsidRDefault="00676448" w:rsidP="002D7E42">
            <w:pPr>
              <w:jc w:val="center"/>
              <w:rPr>
                <w:sz w:val="20"/>
                <w:szCs w:val="20"/>
              </w:rPr>
            </w:pPr>
            <w:r w:rsidRPr="00643000">
              <w:rPr>
                <w:sz w:val="20"/>
                <w:szCs w:val="20"/>
              </w:rPr>
              <w:t>Psychological symptoms</w:t>
            </w:r>
          </w:p>
        </w:tc>
        <w:tc>
          <w:tcPr>
            <w:tcW w:w="1980" w:type="dxa"/>
            <w:gridSpan w:val="4"/>
            <w:vAlign w:val="center"/>
          </w:tcPr>
          <w:p w:rsidR="00676448" w:rsidRPr="00643000" w:rsidRDefault="00676448" w:rsidP="002D7E42">
            <w:pPr>
              <w:jc w:val="center"/>
              <w:rPr>
                <w:sz w:val="20"/>
                <w:szCs w:val="20"/>
              </w:rPr>
            </w:pPr>
            <w:r w:rsidRPr="00643000">
              <w:rPr>
                <w:sz w:val="20"/>
                <w:szCs w:val="20"/>
              </w:rPr>
              <w:t>General somatic symptoms</w:t>
            </w:r>
          </w:p>
        </w:tc>
        <w:tc>
          <w:tcPr>
            <w:tcW w:w="1980" w:type="dxa"/>
            <w:gridSpan w:val="4"/>
            <w:vAlign w:val="center"/>
          </w:tcPr>
          <w:p w:rsidR="00676448" w:rsidRPr="00643000" w:rsidRDefault="00676448" w:rsidP="002D7E42">
            <w:pPr>
              <w:jc w:val="center"/>
              <w:rPr>
                <w:sz w:val="20"/>
                <w:szCs w:val="20"/>
              </w:rPr>
            </w:pPr>
            <w:r w:rsidRPr="00643000">
              <w:rPr>
                <w:sz w:val="20"/>
                <w:szCs w:val="20"/>
              </w:rPr>
              <w:t>Vasomotor symptoms</w:t>
            </w:r>
          </w:p>
        </w:tc>
        <w:tc>
          <w:tcPr>
            <w:tcW w:w="1980" w:type="dxa"/>
            <w:gridSpan w:val="4"/>
            <w:vAlign w:val="center"/>
          </w:tcPr>
          <w:p w:rsidR="00676448" w:rsidRPr="00643000" w:rsidRDefault="00676448" w:rsidP="002D7E42">
            <w:pPr>
              <w:jc w:val="center"/>
              <w:rPr>
                <w:sz w:val="20"/>
                <w:szCs w:val="20"/>
              </w:rPr>
            </w:pPr>
            <w:proofErr w:type="spellStart"/>
            <w:r w:rsidRPr="00643000">
              <w:rPr>
                <w:sz w:val="20"/>
                <w:szCs w:val="20"/>
              </w:rPr>
              <w:t>Musclo</w:t>
            </w:r>
            <w:proofErr w:type="spellEnd"/>
            <w:r w:rsidRPr="00643000">
              <w:rPr>
                <w:sz w:val="20"/>
                <w:szCs w:val="20"/>
              </w:rPr>
              <w:t>-skeletal symptoms</w:t>
            </w:r>
          </w:p>
        </w:tc>
        <w:tc>
          <w:tcPr>
            <w:tcW w:w="2000" w:type="dxa"/>
            <w:gridSpan w:val="4"/>
            <w:vAlign w:val="center"/>
          </w:tcPr>
          <w:p w:rsidR="00676448" w:rsidRPr="00643000" w:rsidRDefault="00676448" w:rsidP="002D7E42">
            <w:pPr>
              <w:jc w:val="center"/>
              <w:rPr>
                <w:sz w:val="20"/>
                <w:szCs w:val="20"/>
              </w:rPr>
            </w:pPr>
            <w:r w:rsidRPr="00643000">
              <w:rPr>
                <w:sz w:val="20"/>
                <w:szCs w:val="20"/>
              </w:rPr>
              <w:t>Menstrual symptoms</w:t>
            </w:r>
          </w:p>
        </w:tc>
        <w:tc>
          <w:tcPr>
            <w:tcW w:w="1980" w:type="dxa"/>
            <w:gridSpan w:val="4"/>
            <w:tcBorders>
              <w:right w:val="nil"/>
            </w:tcBorders>
            <w:vAlign w:val="center"/>
          </w:tcPr>
          <w:p w:rsidR="00676448" w:rsidRPr="00643000" w:rsidRDefault="00676448" w:rsidP="002D7E42">
            <w:pPr>
              <w:jc w:val="center"/>
              <w:rPr>
                <w:sz w:val="20"/>
                <w:szCs w:val="20"/>
              </w:rPr>
            </w:pPr>
            <w:r w:rsidRPr="00643000">
              <w:rPr>
                <w:sz w:val="20"/>
                <w:szCs w:val="20"/>
              </w:rPr>
              <w:t>Sexual symptoms</w:t>
            </w:r>
          </w:p>
        </w:tc>
        <w:tc>
          <w:tcPr>
            <w:tcW w:w="1799" w:type="dxa"/>
            <w:gridSpan w:val="4"/>
            <w:vAlign w:val="center"/>
          </w:tcPr>
          <w:p w:rsidR="00676448" w:rsidRPr="00643000" w:rsidRDefault="00676448" w:rsidP="002D7E42">
            <w:pPr>
              <w:jc w:val="center"/>
              <w:rPr>
                <w:sz w:val="20"/>
                <w:szCs w:val="20"/>
              </w:rPr>
            </w:pPr>
            <w:r w:rsidRPr="00643000">
              <w:rPr>
                <w:sz w:val="20"/>
                <w:szCs w:val="20"/>
              </w:rPr>
              <w:t>Bloating symptoms</w:t>
            </w:r>
          </w:p>
        </w:tc>
      </w:tr>
      <w:tr w:rsidR="00676448" w:rsidRPr="00182CAE">
        <w:trPr>
          <w:trHeight w:val="270"/>
        </w:trPr>
        <w:tc>
          <w:tcPr>
            <w:tcW w:w="2337" w:type="dxa"/>
            <w:vMerge/>
          </w:tcPr>
          <w:p w:rsidR="00676448" w:rsidRPr="00643000" w:rsidRDefault="00676448" w:rsidP="002D7E42"/>
        </w:tc>
        <w:tc>
          <w:tcPr>
            <w:tcW w:w="497" w:type="dxa"/>
            <w:tcBorders>
              <w:right w:val="nil"/>
            </w:tcBorders>
            <w:vAlign w:val="center"/>
          </w:tcPr>
          <w:p w:rsidR="00676448" w:rsidRPr="00643000" w:rsidRDefault="00676448" w:rsidP="002D7E42">
            <w:pPr>
              <w:jc w:val="center"/>
              <w:rPr>
                <w:sz w:val="16"/>
                <w:szCs w:val="16"/>
              </w:rPr>
            </w:pPr>
            <w:r w:rsidRPr="00643000">
              <w:rPr>
                <w:sz w:val="16"/>
                <w:szCs w:val="16"/>
              </w:rPr>
              <w:t>Pr</w:t>
            </w:r>
          </w:p>
        </w:tc>
        <w:tc>
          <w:tcPr>
            <w:tcW w:w="498" w:type="dxa"/>
            <w:tcBorders>
              <w:left w:val="nil"/>
              <w:right w:val="nil"/>
            </w:tcBorders>
            <w:vAlign w:val="center"/>
          </w:tcPr>
          <w:p w:rsidR="00676448" w:rsidRPr="00643000" w:rsidRDefault="00676448" w:rsidP="002D7E42">
            <w:pPr>
              <w:jc w:val="center"/>
              <w:rPr>
                <w:sz w:val="16"/>
                <w:szCs w:val="16"/>
              </w:rPr>
            </w:pPr>
            <w:proofErr w:type="spellStart"/>
            <w:r w:rsidRPr="00643000">
              <w:rPr>
                <w:sz w:val="16"/>
                <w:szCs w:val="16"/>
              </w:rPr>
              <w:t>Pe</w:t>
            </w:r>
            <w:proofErr w:type="spellEnd"/>
          </w:p>
        </w:tc>
        <w:tc>
          <w:tcPr>
            <w:tcW w:w="498" w:type="dxa"/>
            <w:tcBorders>
              <w:left w:val="nil"/>
              <w:right w:val="nil"/>
            </w:tcBorders>
            <w:vAlign w:val="center"/>
          </w:tcPr>
          <w:p w:rsidR="00676448" w:rsidRPr="00643000" w:rsidRDefault="00676448" w:rsidP="002D7E42">
            <w:pPr>
              <w:jc w:val="center"/>
              <w:rPr>
                <w:sz w:val="16"/>
                <w:szCs w:val="16"/>
              </w:rPr>
            </w:pPr>
            <w:r w:rsidRPr="00643000">
              <w:rPr>
                <w:sz w:val="16"/>
                <w:szCs w:val="16"/>
              </w:rPr>
              <w:t>Po</w:t>
            </w:r>
          </w:p>
        </w:tc>
        <w:tc>
          <w:tcPr>
            <w:tcW w:w="418" w:type="dxa"/>
            <w:tcBorders>
              <w:left w:val="nil"/>
            </w:tcBorders>
            <w:vAlign w:val="center"/>
          </w:tcPr>
          <w:p w:rsidR="00676448" w:rsidRPr="00643000" w:rsidRDefault="00676448" w:rsidP="002D7E42">
            <w:pPr>
              <w:jc w:val="center"/>
              <w:rPr>
                <w:sz w:val="16"/>
                <w:szCs w:val="16"/>
              </w:rPr>
            </w:pPr>
            <w:r w:rsidRPr="00643000">
              <w:rPr>
                <w:sz w:val="16"/>
                <w:szCs w:val="16"/>
              </w:rPr>
              <w:t>S</w:t>
            </w:r>
          </w:p>
        </w:tc>
        <w:tc>
          <w:tcPr>
            <w:tcW w:w="570" w:type="dxa"/>
            <w:tcBorders>
              <w:right w:val="nil"/>
            </w:tcBorders>
            <w:vAlign w:val="center"/>
          </w:tcPr>
          <w:p w:rsidR="00676448" w:rsidRPr="00643000" w:rsidRDefault="00676448" w:rsidP="002D7E42">
            <w:pPr>
              <w:jc w:val="center"/>
              <w:rPr>
                <w:sz w:val="16"/>
                <w:szCs w:val="16"/>
              </w:rPr>
            </w:pPr>
            <w:r w:rsidRPr="00643000">
              <w:rPr>
                <w:sz w:val="16"/>
                <w:szCs w:val="16"/>
              </w:rPr>
              <w:t>Pr</w:t>
            </w:r>
          </w:p>
        </w:tc>
        <w:tc>
          <w:tcPr>
            <w:tcW w:w="491" w:type="dxa"/>
            <w:tcBorders>
              <w:left w:val="nil"/>
              <w:right w:val="nil"/>
            </w:tcBorders>
            <w:vAlign w:val="center"/>
          </w:tcPr>
          <w:p w:rsidR="00676448" w:rsidRPr="00643000" w:rsidRDefault="00676448" w:rsidP="002D7E42">
            <w:pPr>
              <w:jc w:val="center"/>
              <w:rPr>
                <w:sz w:val="16"/>
                <w:szCs w:val="16"/>
              </w:rPr>
            </w:pPr>
            <w:proofErr w:type="spellStart"/>
            <w:r w:rsidRPr="00643000">
              <w:rPr>
                <w:sz w:val="16"/>
                <w:szCs w:val="16"/>
              </w:rPr>
              <w:t>Pe</w:t>
            </w:r>
            <w:proofErr w:type="spellEnd"/>
          </w:p>
        </w:tc>
        <w:tc>
          <w:tcPr>
            <w:tcW w:w="491" w:type="dxa"/>
            <w:tcBorders>
              <w:left w:val="nil"/>
              <w:right w:val="nil"/>
            </w:tcBorders>
            <w:vAlign w:val="center"/>
          </w:tcPr>
          <w:p w:rsidR="00676448" w:rsidRPr="00643000" w:rsidRDefault="00676448" w:rsidP="002D7E42">
            <w:pPr>
              <w:jc w:val="center"/>
              <w:rPr>
                <w:sz w:val="16"/>
                <w:szCs w:val="16"/>
              </w:rPr>
            </w:pPr>
            <w:r w:rsidRPr="00643000">
              <w:rPr>
                <w:sz w:val="16"/>
                <w:szCs w:val="16"/>
              </w:rPr>
              <w:t>Po</w:t>
            </w:r>
          </w:p>
        </w:tc>
        <w:tc>
          <w:tcPr>
            <w:tcW w:w="428" w:type="dxa"/>
            <w:tcBorders>
              <w:left w:val="nil"/>
            </w:tcBorders>
            <w:vAlign w:val="center"/>
          </w:tcPr>
          <w:p w:rsidR="00676448" w:rsidRPr="00643000" w:rsidRDefault="00676448" w:rsidP="002D7E42">
            <w:pPr>
              <w:jc w:val="center"/>
              <w:rPr>
                <w:sz w:val="16"/>
                <w:szCs w:val="16"/>
              </w:rPr>
            </w:pPr>
            <w:r w:rsidRPr="00643000">
              <w:rPr>
                <w:sz w:val="16"/>
                <w:szCs w:val="16"/>
              </w:rPr>
              <w:t>S</w:t>
            </w:r>
          </w:p>
        </w:tc>
        <w:tc>
          <w:tcPr>
            <w:tcW w:w="561" w:type="dxa"/>
            <w:tcBorders>
              <w:right w:val="nil"/>
            </w:tcBorders>
            <w:vAlign w:val="center"/>
          </w:tcPr>
          <w:p w:rsidR="00676448" w:rsidRPr="00643000" w:rsidRDefault="00676448" w:rsidP="002D7E42">
            <w:pPr>
              <w:jc w:val="center"/>
              <w:rPr>
                <w:sz w:val="16"/>
                <w:szCs w:val="16"/>
              </w:rPr>
            </w:pPr>
            <w:r w:rsidRPr="00643000">
              <w:rPr>
                <w:sz w:val="16"/>
                <w:szCs w:val="16"/>
              </w:rPr>
              <w:t>Pr</w:t>
            </w:r>
          </w:p>
        </w:tc>
        <w:tc>
          <w:tcPr>
            <w:tcW w:w="498" w:type="dxa"/>
            <w:tcBorders>
              <w:left w:val="nil"/>
              <w:right w:val="nil"/>
            </w:tcBorders>
            <w:vAlign w:val="center"/>
          </w:tcPr>
          <w:p w:rsidR="00676448" w:rsidRPr="00643000" w:rsidRDefault="00676448" w:rsidP="002D7E42">
            <w:pPr>
              <w:jc w:val="center"/>
              <w:rPr>
                <w:sz w:val="16"/>
                <w:szCs w:val="16"/>
              </w:rPr>
            </w:pPr>
            <w:proofErr w:type="spellStart"/>
            <w:r w:rsidRPr="00643000">
              <w:rPr>
                <w:sz w:val="16"/>
                <w:szCs w:val="16"/>
              </w:rPr>
              <w:t>Pe</w:t>
            </w:r>
            <w:proofErr w:type="spellEnd"/>
          </w:p>
        </w:tc>
        <w:tc>
          <w:tcPr>
            <w:tcW w:w="498" w:type="dxa"/>
            <w:tcBorders>
              <w:left w:val="nil"/>
              <w:right w:val="nil"/>
            </w:tcBorders>
            <w:vAlign w:val="center"/>
          </w:tcPr>
          <w:p w:rsidR="00676448" w:rsidRPr="00643000" w:rsidRDefault="00676448" w:rsidP="002D7E42">
            <w:pPr>
              <w:jc w:val="center"/>
              <w:rPr>
                <w:sz w:val="16"/>
                <w:szCs w:val="16"/>
              </w:rPr>
            </w:pPr>
            <w:r w:rsidRPr="00643000">
              <w:rPr>
                <w:sz w:val="16"/>
                <w:szCs w:val="16"/>
              </w:rPr>
              <w:t>Po</w:t>
            </w:r>
          </w:p>
        </w:tc>
        <w:tc>
          <w:tcPr>
            <w:tcW w:w="423" w:type="dxa"/>
            <w:tcBorders>
              <w:left w:val="nil"/>
            </w:tcBorders>
            <w:vAlign w:val="center"/>
          </w:tcPr>
          <w:p w:rsidR="00676448" w:rsidRPr="00643000" w:rsidRDefault="00676448" w:rsidP="002D7E42">
            <w:pPr>
              <w:jc w:val="center"/>
              <w:rPr>
                <w:sz w:val="16"/>
                <w:szCs w:val="16"/>
              </w:rPr>
            </w:pPr>
            <w:r w:rsidRPr="00643000">
              <w:rPr>
                <w:sz w:val="16"/>
                <w:szCs w:val="16"/>
              </w:rPr>
              <w:t>S</w:t>
            </w:r>
          </w:p>
        </w:tc>
        <w:tc>
          <w:tcPr>
            <w:tcW w:w="596" w:type="dxa"/>
            <w:tcBorders>
              <w:right w:val="nil"/>
            </w:tcBorders>
            <w:vAlign w:val="center"/>
          </w:tcPr>
          <w:p w:rsidR="00676448" w:rsidRPr="00643000" w:rsidRDefault="00676448" w:rsidP="002D7E42">
            <w:pPr>
              <w:jc w:val="center"/>
              <w:rPr>
                <w:sz w:val="16"/>
                <w:szCs w:val="16"/>
              </w:rPr>
            </w:pPr>
            <w:r w:rsidRPr="00643000">
              <w:rPr>
                <w:sz w:val="16"/>
                <w:szCs w:val="16"/>
              </w:rPr>
              <w:t>Pr</w:t>
            </w:r>
          </w:p>
        </w:tc>
        <w:tc>
          <w:tcPr>
            <w:tcW w:w="498" w:type="dxa"/>
            <w:tcBorders>
              <w:left w:val="nil"/>
              <w:right w:val="nil"/>
            </w:tcBorders>
            <w:vAlign w:val="center"/>
          </w:tcPr>
          <w:p w:rsidR="00676448" w:rsidRPr="00643000" w:rsidRDefault="00676448" w:rsidP="002D7E42">
            <w:pPr>
              <w:jc w:val="center"/>
              <w:rPr>
                <w:sz w:val="16"/>
                <w:szCs w:val="16"/>
              </w:rPr>
            </w:pPr>
            <w:proofErr w:type="spellStart"/>
            <w:r w:rsidRPr="00643000">
              <w:rPr>
                <w:sz w:val="16"/>
                <w:szCs w:val="16"/>
              </w:rPr>
              <w:t>Pe</w:t>
            </w:r>
            <w:proofErr w:type="spellEnd"/>
          </w:p>
        </w:tc>
        <w:tc>
          <w:tcPr>
            <w:tcW w:w="498" w:type="dxa"/>
            <w:tcBorders>
              <w:left w:val="nil"/>
              <w:right w:val="nil"/>
            </w:tcBorders>
            <w:vAlign w:val="center"/>
          </w:tcPr>
          <w:p w:rsidR="00676448" w:rsidRPr="00643000" w:rsidRDefault="00676448" w:rsidP="002D7E42">
            <w:pPr>
              <w:jc w:val="center"/>
              <w:rPr>
                <w:sz w:val="16"/>
                <w:szCs w:val="16"/>
              </w:rPr>
            </w:pPr>
            <w:r w:rsidRPr="00643000">
              <w:rPr>
                <w:sz w:val="16"/>
                <w:szCs w:val="16"/>
              </w:rPr>
              <w:t>Po</w:t>
            </w:r>
          </w:p>
        </w:tc>
        <w:tc>
          <w:tcPr>
            <w:tcW w:w="388" w:type="dxa"/>
            <w:tcBorders>
              <w:left w:val="nil"/>
            </w:tcBorders>
            <w:vAlign w:val="center"/>
          </w:tcPr>
          <w:p w:rsidR="00676448" w:rsidRPr="00643000" w:rsidRDefault="00676448" w:rsidP="002D7E42">
            <w:pPr>
              <w:jc w:val="center"/>
              <w:rPr>
                <w:sz w:val="16"/>
                <w:szCs w:val="16"/>
              </w:rPr>
            </w:pPr>
            <w:r w:rsidRPr="00643000">
              <w:rPr>
                <w:sz w:val="16"/>
                <w:szCs w:val="16"/>
              </w:rPr>
              <w:t>S</w:t>
            </w:r>
          </w:p>
        </w:tc>
        <w:tc>
          <w:tcPr>
            <w:tcW w:w="500" w:type="dxa"/>
            <w:tcBorders>
              <w:right w:val="nil"/>
            </w:tcBorders>
            <w:vAlign w:val="center"/>
          </w:tcPr>
          <w:p w:rsidR="00676448" w:rsidRPr="00643000" w:rsidRDefault="00676448" w:rsidP="002D7E42">
            <w:pPr>
              <w:jc w:val="center"/>
              <w:rPr>
                <w:sz w:val="16"/>
                <w:szCs w:val="16"/>
              </w:rPr>
            </w:pPr>
            <w:r w:rsidRPr="00643000">
              <w:rPr>
                <w:sz w:val="16"/>
                <w:szCs w:val="16"/>
              </w:rPr>
              <w:t>Pr</w:t>
            </w:r>
          </w:p>
        </w:tc>
        <w:tc>
          <w:tcPr>
            <w:tcW w:w="501" w:type="dxa"/>
            <w:tcBorders>
              <w:left w:val="nil"/>
              <w:right w:val="nil"/>
            </w:tcBorders>
            <w:vAlign w:val="center"/>
          </w:tcPr>
          <w:p w:rsidR="00676448" w:rsidRPr="00643000" w:rsidRDefault="00676448" w:rsidP="002D7E42">
            <w:pPr>
              <w:jc w:val="center"/>
              <w:rPr>
                <w:sz w:val="16"/>
                <w:szCs w:val="16"/>
              </w:rPr>
            </w:pPr>
            <w:proofErr w:type="spellStart"/>
            <w:r w:rsidRPr="00643000">
              <w:rPr>
                <w:sz w:val="16"/>
                <w:szCs w:val="16"/>
              </w:rPr>
              <w:t>Pe</w:t>
            </w:r>
            <w:proofErr w:type="spellEnd"/>
          </w:p>
        </w:tc>
        <w:tc>
          <w:tcPr>
            <w:tcW w:w="500" w:type="dxa"/>
            <w:tcBorders>
              <w:left w:val="nil"/>
              <w:right w:val="nil"/>
            </w:tcBorders>
            <w:vAlign w:val="center"/>
          </w:tcPr>
          <w:p w:rsidR="00676448" w:rsidRPr="00643000" w:rsidRDefault="00676448" w:rsidP="002D7E42">
            <w:pPr>
              <w:jc w:val="center"/>
              <w:rPr>
                <w:sz w:val="16"/>
                <w:szCs w:val="16"/>
              </w:rPr>
            </w:pPr>
            <w:r w:rsidRPr="00643000">
              <w:rPr>
                <w:sz w:val="16"/>
                <w:szCs w:val="16"/>
              </w:rPr>
              <w:t>Po</w:t>
            </w:r>
          </w:p>
        </w:tc>
        <w:tc>
          <w:tcPr>
            <w:tcW w:w="499" w:type="dxa"/>
            <w:tcBorders>
              <w:left w:val="nil"/>
            </w:tcBorders>
            <w:vAlign w:val="center"/>
          </w:tcPr>
          <w:p w:rsidR="00676448" w:rsidRPr="00643000" w:rsidRDefault="00676448" w:rsidP="002D7E42">
            <w:pPr>
              <w:jc w:val="center"/>
              <w:rPr>
                <w:sz w:val="16"/>
                <w:szCs w:val="16"/>
              </w:rPr>
            </w:pPr>
            <w:r w:rsidRPr="00643000">
              <w:rPr>
                <w:sz w:val="16"/>
                <w:szCs w:val="16"/>
              </w:rPr>
              <w:t>S</w:t>
            </w:r>
          </w:p>
        </w:tc>
        <w:tc>
          <w:tcPr>
            <w:tcW w:w="520" w:type="dxa"/>
            <w:tcBorders>
              <w:right w:val="nil"/>
            </w:tcBorders>
            <w:vAlign w:val="center"/>
          </w:tcPr>
          <w:p w:rsidR="00676448" w:rsidRPr="00643000" w:rsidRDefault="00676448" w:rsidP="002D7E42">
            <w:pPr>
              <w:jc w:val="center"/>
              <w:rPr>
                <w:sz w:val="16"/>
                <w:szCs w:val="16"/>
              </w:rPr>
            </w:pPr>
            <w:r w:rsidRPr="00643000">
              <w:rPr>
                <w:sz w:val="16"/>
                <w:szCs w:val="16"/>
              </w:rPr>
              <w:t>Pr</w:t>
            </w:r>
          </w:p>
        </w:tc>
        <w:tc>
          <w:tcPr>
            <w:tcW w:w="546" w:type="dxa"/>
            <w:tcBorders>
              <w:left w:val="nil"/>
              <w:right w:val="nil"/>
            </w:tcBorders>
            <w:vAlign w:val="center"/>
          </w:tcPr>
          <w:p w:rsidR="00676448" w:rsidRPr="00643000" w:rsidRDefault="00676448" w:rsidP="002D7E42">
            <w:pPr>
              <w:jc w:val="center"/>
              <w:rPr>
                <w:sz w:val="16"/>
                <w:szCs w:val="16"/>
              </w:rPr>
            </w:pPr>
            <w:proofErr w:type="spellStart"/>
            <w:r w:rsidRPr="00643000">
              <w:rPr>
                <w:sz w:val="16"/>
                <w:szCs w:val="16"/>
              </w:rPr>
              <w:t>Pe</w:t>
            </w:r>
            <w:proofErr w:type="spellEnd"/>
          </w:p>
        </w:tc>
        <w:tc>
          <w:tcPr>
            <w:tcW w:w="494" w:type="dxa"/>
            <w:tcBorders>
              <w:left w:val="nil"/>
              <w:right w:val="nil"/>
            </w:tcBorders>
            <w:vAlign w:val="center"/>
          </w:tcPr>
          <w:p w:rsidR="00676448" w:rsidRPr="00643000" w:rsidRDefault="00676448" w:rsidP="002D7E42">
            <w:pPr>
              <w:jc w:val="center"/>
              <w:rPr>
                <w:sz w:val="16"/>
                <w:szCs w:val="16"/>
              </w:rPr>
            </w:pPr>
            <w:r w:rsidRPr="00643000">
              <w:rPr>
                <w:sz w:val="16"/>
                <w:szCs w:val="16"/>
              </w:rPr>
              <w:t>Po</w:t>
            </w:r>
          </w:p>
        </w:tc>
        <w:tc>
          <w:tcPr>
            <w:tcW w:w="420" w:type="dxa"/>
            <w:tcBorders>
              <w:left w:val="nil"/>
            </w:tcBorders>
            <w:vAlign w:val="center"/>
          </w:tcPr>
          <w:p w:rsidR="00676448" w:rsidRPr="00643000" w:rsidRDefault="00676448" w:rsidP="002D7E42">
            <w:pPr>
              <w:jc w:val="center"/>
              <w:rPr>
                <w:sz w:val="16"/>
                <w:szCs w:val="16"/>
              </w:rPr>
            </w:pPr>
            <w:r w:rsidRPr="00643000">
              <w:rPr>
                <w:sz w:val="16"/>
                <w:szCs w:val="16"/>
              </w:rPr>
              <w:t>S</w:t>
            </w:r>
          </w:p>
        </w:tc>
        <w:tc>
          <w:tcPr>
            <w:tcW w:w="374" w:type="dxa"/>
            <w:tcBorders>
              <w:right w:val="nil"/>
            </w:tcBorders>
            <w:vAlign w:val="center"/>
          </w:tcPr>
          <w:p w:rsidR="00676448" w:rsidRPr="00643000" w:rsidRDefault="00676448" w:rsidP="002D7E42">
            <w:pPr>
              <w:jc w:val="center"/>
              <w:rPr>
                <w:sz w:val="16"/>
                <w:szCs w:val="16"/>
              </w:rPr>
            </w:pPr>
            <w:r w:rsidRPr="00643000">
              <w:rPr>
                <w:sz w:val="16"/>
                <w:szCs w:val="16"/>
              </w:rPr>
              <w:t>Pr</w:t>
            </w:r>
          </w:p>
        </w:tc>
        <w:tc>
          <w:tcPr>
            <w:tcW w:w="495" w:type="dxa"/>
            <w:tcBorders>
              <w:left w:val="nil"/>
              <w:right w:val="nil"/>
            </w:tcBorders>
            <w:vAlign w:val="center"/>
          </w:tcPr>
          <w:p w:rsidR="00676448" w:rsidRPr="00643000" w:rsidRDefault="00676448" w:rsidP="002D7E42">
            <w:pPr>
              <w:jc w:val="center"/>
              <w:rPr>
                <w:sz w:val="16"/>
                <w:szCs w:val="16"/>
              </w:rPr>
            </w:pPr>
            <w:proofErr w:type="spellStart"/>
            <w:r w:rsidRPr="00643000">
              <w:rPr>
                <w:sz w:val="16"/>
                <w:szCs w:val="16"/>
              </w:rPr>
              <w:t>Pe</w:t>
            </w:r>
            <w:proofErr w:type="spellEnd"/>
          </w:p>
        </w:tc>
        <w:tc>
          <w:tcPr>
            <w:tcW w:w="494" w:type="dxa"/>
            <w:tcBorders>
              <w:left w:val="nil"/>
              <w:right w:val="nil"/>
            </w:tcBorders>
            <w:vAlign w:val="center"/>
          </w:tcPr>
          <w:p w:rsidR="00676448" w:rsidRPr="00643000" w:rsidRDefault="00676448" w:rsidP="002D7E42">
            <w:pPr>
              <w:jc w:val="center"/>
              <w:rPr>
                <w:sz w:val="16"/>
                <w:szCs w:val="16"/>
              </w:rPr>
            </w:pPr>
            <w:r w:rsidRPr="00643000">
              <w:rPr>
                <w:sz w:val="16"/>
                <w:szCs w:val="16"/>
              </w:rPr>
              <w:t>Po</w:t>
            </w:r>
          </w:p>
        </w:tc>
        <w:tc>
          <w:tcPr>
            <w:tcW w:w="436" w:type="dxa"/>
            <w:tcBorders>
              <w:left w:val="nil"/>
            </w:tcBorders>
            <w:vAlign w:val="center"/>
          </w:tcPr>
          <w:p w:rsidR="00676448" w:rsidRPr="00643000" w:rsidRDefault="00676448" w:rsidP="002D7E42">
            <w:pPr>
              <w:jc w:val="center"/>
              <w:rPr>
                <w:sz w:val="16"/>
                <w:szCs w:val="16"/>
              </w:rPr>
            </w:pPr>
            <w:r w:rsidRPr="00643000">
              <w:rPr>
                <w:sz w:val="16"/>
                <w:szCs w:val="16"/>
              </w:rPr>
              <w:t>S</w:t>
            </w:r>
          </w:p>
        </w:tc>
      </w:tr>
      <w:tr w:rsidR="00676448" w:rsidRPr="00182CAE">
        <w:trPr>
          <w:trHeight w:val="270"/>
        </w:trPr>
        <w:tc>
          <w:tcPr>
            <w:tcW w:w="2337" w:type="dxa"/>
            <w:tcBorders>
              <w:bottom w:val="nil"/>
            </w:tcBorders>
          </w:tcPr>
          <w:p w:rsidR="00676448" w:rsidRPr="00643000" w:rsidRDefault="00676448" w:rsidP="002D7E42">
            <w:pPr>
              <w:rPr>
                <w:sz w:val="20"/>
                <w:szCs w:val="20"/>
              </w:rPr>
            </w:pPr>
            <w:r w:rsidRPr="00643000">
              <w:rPr>
                <w:sz w:val="20"/>
                <w:szCs w:val="20"/>
              </w:rPr>
              <w:t>Depression</w:t>
            </w:r>
          </w:p>
        </w:tc>
        <w:tc>
          <w:tcPr>
            <w:tcW w:w="497" w:type="dxa"/>
            <w:tcBorders>
              <w:bottom w:val="nil"/>
              <w:right w:val="nil"/>
            </w:tcBorders>
            <w:vAlign w:val="center"/>
          </w:tcPr>
          <w:p w:rsidR="00676448" w:rsidRPr="00643000" w:rsidRDefault="00676448" w:rsidP="002D7E42">
            <w:pPr>
              <w:jc w:val="center"/>
            </w:pPr>
            <w:r w:rsidRPr="00643000">
              <w:rPr>
                <w:sz w:val="22"/>
                <w:szCs w:val="22"/>
              </w:rPr>
              <w:t>*</w:t>
            </w:r>
          </w:p>
        </w:tc>
        <w:tc>
          <w:tcPr>
            <w:tcW w:w="498" w:type="dxa"/>
            <w:tcBorders>
              <w:left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left w:val="nil"/>
              <w:bottom w:val="nil"/>
              <w:right w:val="nil"/>
            </w:tcBorders>
            <w:vAlign w:val="center"/>
          </w:tcPr>
          <w:p w:rsidR="00676448" w:rsidRPr="00643000" w:rsidRDefault="00676448" w:rsidP="002D7E42">
            <w:pPr>
              <w:jc w:val="center"/>
            </w:pPr>
            <w:r w:rsidRPr="00643000">
              <w:rPr>
                <w:sz w:val="22"/>
                <w:szCs w:val="22"/>
              </w:rPr>
              <w:t>*</w:t>
            </w:r>
          </w:p>
        </w:tc>
        <w:tc>
          <w:tcPr>
            <w:tcW w:w="418" w:type="dxa"/>
            <w:tcBorders>
              <w:left w:val="nil"/>
              <w:bottom w:val="nil"/>
            </w:tcBorders>
            <w:vAlign w:val="center"/>
          </w:tcPr>
          <w:p w:rsidR="00676448" w:rsidRPr="00643000" w:rsidRDefault="00676448" w:rsidP="002D7E42">
            <w:pPr>
              <w:jc w:val="center"/>
            </w:pPr>
            <w:r w:rsidRPr="00643000">
              <w:rPr>
                <w:sz w:val="22"/>
                <w:szCs w:val="22"/>
              </w:rPr>
              <w:t>*</w:t>
            </w:r>
          </w:p>
        </w:tc>
        <w:tc>
          <w:tcPr>
            <w:tcW w:w="570" w:type="dxa"/>
            <w:tcBorders>
              <w:bottom w:val="nil"/>
              <w:right w:val="nil"/>
            </w:tcBorders>
            <w:vAlign w:val="center"/>
          </w:tcPr>
          <w:p w:rsidR="00676448" w:rsidRPr="00643000" w:rsidRDefault="00676448" w:rsidP="002D7E42">
            <w:pPr>
              <w:jc w:val="center"/>
            </w:pPr>
          </w:p>
        </w:tc>
        <w:tc>
          <w:tcPr>
            <w:tcW w:w="491" w:type="dxa"/>
            <w:tcBorders>
              <w:left w:val="nil"/>
              <w:bottom w:val="nil"/>
              <w:right w:val="nil"/>
            </w:tcBorders>
            <w:vAlign w:val="center"/>
          </w:tcPr>
          <w:p w:rsidR="00676448" w:rsidRPr="00643000" w:rsidRDefault="00676448" w:rsidP="002D7E42">
            <w:pPr>
              <w:jc w:val="center"/>
            </w:pPr>
          </w:p>
        </w:tc>
        <w:tc>
          <w:tcPr>
            <w:tcW w:w="491" w:type="dxa"/>
            <w:tcBorders>
              <w:left w:val="nil"/>
              <w:bottom w:val="nil"/>
              <w:right w:val="nil"/>
            </w:tcBorders>
            <w:vAlign w:val="center"/>
          </w:tcPr>
          <w:p w:rsidR="00676448" w:rsidRPr="00643000" w:rsidRDefault="00676448" w:rsidP="002D7E42">
            <w:pPr>
              <w:jc w:val="center"/>
            </w:pPr>
          </w:p>
        </w:tc>
        <w:tc>
          <w:tcPr>
            <w:tcW w:w="428" w:type="dxa"/>
            <w:tcBorders>
              <w:left w:val="nil"/>
              <w:bottom w:val="nil"/>
            </w:tcBorders>
            <w:vAlign w:val="center"/>
          </w:tcPr>
          <w:p w:rsidR="00676448" w:rsidRPr="00643000" w:rsidRDefault="00676448" w:rsidP="002D7E42">
            <w:pPr>
              <w:jc w:val="center"/>
            </w:pPr>
          </w:p>
        </w:tc>
        <w:tc>
          <w:tcPr>
            <w:tcW w:w="561" w:type="dxa"/>
            <w:tcBorders>
              <w:bottom w:val="nil"/>
              <w:right w:val="nil"/>
            </w:tcBorders>
            <w:vAlign w:val="center"/>
          </w:tcPr>
          <w:p w:rsidR="00676448" w:rsidRPr="00643000" w:rsidRDefault="00676448" w:rsidP="002D7E42">
            <w:pPr>
              <w:jc w:val="center"/>
            </w:pPr>
          </w:p>
        </w:tc>
        <w:tc>
          <w:tcPr>
            <w:tcW w:w="498" w:type="dxa"/>
            <w:tcBorders>
              <w:left w:val="nil"/>
              <w:bottom w:val="nil"/>
              <w:right w:val="nil"/>
            </w:tcBorders>
            <w:vAlign w:val="center"/>
          </w:tcPr>
          <w:p w:rsidR="00676448" w:rsidRPr="00643000" w:rsidRDefault="00676448" w:rsidP="002D7E42">
            <w:pPr>
              <w:jc w:val="center"/>
            </w:pPr>
          </w:p>
        </w:tc>
        <w:tc>
          <w:tcPr>
            <w:tcW w:w="498" w:type="dxa"/>
            <w:tcBorders>
              <w:left w:val="nil"/>
              <w:bottom w:val="nil"/>
              <w:right w:val="nil"/>
            </w:tcBorders>
            <w:vAlign w:val="center"/>
          </w:tcPr>
          <w:p w:rsidR="00676448" w:rsidRPr="00643000" w:rsidRDefault="00676448" w:rsidP="002D7E42">
            <w:pPr>
              <w:jc w:val="center"/>
            </w:pPr>
          </w:p>
        </w:tc>
        <w:tc>
          <w:tcPr>
            <w:tcW w:w="423" w:type="dxa"/>
            <w:tcBorders>
              <w:left w:val="nil"/>
              <w:bottom w:val="nil"/>
            </w:tcBorders>
            <w:vAlign w:val="center"/>
          </w:tcPr>
          <w:p w:rsidR="00676448" w:rsidRPr="00643000" w:rsidRDefault="00676448" w:rsidP="002D7E42">
            <w:pPr>
              <w:jc w:val="center"/>
            </w:pPr>
          </w:p>
        </w:tc>
        <w:tc>
          <w:tcPr>
            <w:tcW w:w="596" w:type="dxa"/>
            <w:tcBorders>
              <w:bottom w:val="nil"/>
              <w:right w:val="nil"/>
            </w:tcBorders>
            <w:vAlign w:val="center"/>
          </w:tcPr>
          <w:p w:rsidR="00676448" w:rsidRPr="00643000" w:rsidRDefault="00676448" w:rsidP="002D7E42">
            <w:pPr>
              <w:jc w:val="center"/>
            </w:pPr>
          </w:p>
        </w:tc>
        <w:tc>
          <w:tcPr>
            <w:tcW w:w="498" w:type="dxa"/>
            <w:tcBorders>
              <w:left w:val="nil"/>
              <w:bottom w:val="nil"/>
              <w:right w:val="nil"/>
            </w:tcBorders>
            <w:vAlign w:val="center"/>
          </w:tcPr>
          <w:p w:rsidR="00676448" w:rsidRPr="00643000" w:rsidRDefault="00676448" w:rsidP="002D7E42">
            <w:pPr>
              <w:jc w:val="center"/>
            </w:pPr>
          </w:p>
        </w:tc>
        <w:tc>
          <w:tcPr>
            <w:tcW w:w="498" w:type="dxa"/>
            <w:tcBorders>
              <w:left w:val="nil"/>
              <w:bottom w:val="nil"/>
              <w:right w:val="nil"/>
            </w:tcBorders>
            <w:vAlign w:val="center"/>
          </w:tcPr>
          <w:p w:rsidR="00676448" w:rsidRPr="00643000" w:rsidRDefault="00676448" w:rsidP="002D7E42">
            <w:pPr>
              <w:jc w:val="center"/>
            </w:pPr>
          </w:p>
        </w:tc>
        <w:tc>
          <w:tcPr>
            <w:tcW w:w="388" w:type="dxa"/>
            <w:tcBorders>
              <w:left w:val="nil"/>
              <w:bottom w:val="nil"/>
            </w:tcBorders>
            <w:vAlign w:val="center"/>
          </w:tcPr>
          <w:p w:rsidR="00676448" w:rsidRPr="00643000" w:rsidRDefault="00676448" w:rsidP="002D7E42">
            <w:pPr>
              <w:jc w:val="center"/>
            </w:pPr>
          </w:p>
        </w:tc>
        <w:tc>
          <w:tcPr>
            <w:tcW w:w="500" w:type="dxa"/>
            <w:tcBorders>
              <w:bottom w:val="nil"/>
              <w:right w:val="nil"/>
            </w:tcBorders>
            <w:vAlign w:val="center"/>
          </w:tcPr>
          <w:p w:rsidR="00676448" w:rsidRPr="00643000" w:rsidRDefault="00676448" w:rsidP="002D7E42">
            <w:pPr>
              <w:jc w:val="center"/>
            </w:pPr>
          </w:p>
        </w:tc>
        <w:tc>
          <w:tcPr>
            <w:tcW w:w="501" w:type="dxa"/>
            <w:tcBorders>
              <w:left w:val="nil"/>
              <w:bottom w:val="nil"/>
              <w:right w:val="nil"/>
            </w:tcBorders>
            <w:vAlign w:val="center"/>
          </w:tcPr>
          <w:p w:rsidR="00676448" w:rsidRPr="00643000" w:rsidRDefault="00676448" w:rsidP="002D7E42">
            <w:pPr>
              <w:jc w:val="center"/>
            </w:pPr>
          </w:p>
        </w:tc>
        <w:tc>
          <w:tcPr>
            <w:tcW w:w="500" w:type="dxa"/>
            <w:tcBorders>
              <w:left w:val="nil"/>
              <w:bottom w:val="nil"/>
              <w:right w:val="nil"/>
            </w:tcBorders>
            <w:vAlign w:val="center"/>
          </w:tcPr>
          <w:p w:rsidR="00676448" w:rsidRPr="00643000" w:rsidRDefault="00676448" w:rsidP="002D7E42">
            <w:pPr>
              <w:jc w:val="center"/>
            </w:pPr>
          </w:p>
        </w:tc>
        <w:tc>
          <w:tcPr>
            <w:tcW w:w="499" w:type="dxa"/>
            <w:tcBorders>
              <w:left w:val="nil"/>
              <w:bottom w:val="nil"/>
            </w:tcBorders>
            <w:vAlign w:val="center"/>
          </w:tcPr>
          <w:p w:rsidR="00676448" w:rsidRPr="00643000" w:rsidRDefault="00676448" w:rsidP="002D7E42">
            <w:pPr>
              <w:jc w:val="center"/>
            </w:pPr>
          </w:p>
        </w:tc>
        <w:tc>
          <w:tcPr>
            <w:tcW w:w="520" w:type="dxa"/>
            <w:tcBorders>
              <w:bottom w:val="nil"/>
              <w:right w:val="nil"/>
            </w:tcBorders>
            <w:vAlign w:val="center"/>
          </w:tcPr>
          <w:p w:rsidR="00676448" w:rsidRPr="00643000" w:rsidRDefault="00676448" w:rsidP="002D7E42">
            <w:pPr>
              <w:jc w:val="center"/>
            </w:pPr>
          </w:p>
        </w:tc>
        <w:tc>
          <w:tcPr>
            <w:tcW w:w="546" w:type="dxa"/>
            <w:tcBorders>
              <w:left w:val="nil"/>
              <w:bottom w:val="nil"/>
              <w:right w:val="nil"/>
            </w:tcBorders>
            <w:vAlign w:val="center"/>
          </w:tcPr>
          <w:p w:rsidR="00676448" w:rsidRPr="00643000" w:rsidRDefault="00676448" w:rsidP="002D7E42">
            <w:pPr>
              <w:jc w:val="center"/>
            </w:pPr>
          </w:p>
        </w:tc>
        <w:tc>
          <w:tcPr>
            <w:tcW w:w="494" w:type="dxa"/>
            <w:tcBorders>
              <w:left w:val="nil"/>
              <w:bottom w:val="nil"/>
              <w:right w:val="nil"/>
            </w:tcBorders>
            <w:vAlign w:val="center"/>
          </w:tcPr>
          <w:p w:rsidR="00676448" w:rsidRPr="00643000" w:rsidRDefault="00676448" w:rsidP="002D7E42">
            <w:pPr>
              <w:jc w:val="center"/>
            </w:pPr>
          </w:p>
        </w:tc>
        <w:tc>
          <w:tcPr>
            <w:tcW w:w="420" w:type="dxa"/>
            <w:tcBorders>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Tearfulness</w:t>
            </w:r>
          </w:p>
        </w:tc>
        <w:tc>
          <w:tcPr>
            <w:tcW w:w="497"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18"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Mood swings</w:t>
            </w:r>
          </w:p>
        </w:tc>
        <w:tc>
          <w:tcPr>
            <w:tcW w:w="497"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18"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Anxiety</w:t>
            </w:r>
          </w:p>
        </w:tc>
        <w:tc>
          <w:tcPr>
            <w:tcW w:w="497"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18"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Memory loss</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Breathlessness</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Passing urine&gt; frequently</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Increased weight</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5"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4"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Headaches/migraine</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1"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28"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ind w:left="1440" w:hanging="1440"/>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Dizziness</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1"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1"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28"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Leakage of urine</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AB3759" w:rsidRDefault="00676448" w:rsidP="002D7E42">
            <w:pPr>
              <w:rPr>
                <w:sz w:val="20"/>
                <w:szCs w:val="20"/>
              </w:rPr>
            </w:pPr>
            <w:r w:rsidRPr="00AB3759">
              <w:rPr>
                <w:sz w:val="20"/>
                <w:szCs w:val="20"/>
              </w:rPr>
              <w:t>Night sweats</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23"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AB3759" w:rsidRDefault="00676448" w:rsidP="002D7E42">
            <w:pPr>
              <w:rPr>
                <w:sz w:val="20"/>
                <w:szCs w:val="20"/>
              </w:rPr>
            </w:pPr>
            <w:r w:rsidRPr="00AB3759">
              <w:rPr>
                <w:sz w:val="20"/>
                <w:szCs w:val="20"/>
              </w:rPr>
              <w:t>Hot flushes</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23"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Stiff joints</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388"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Aches and pains</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388"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Irregular periods</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500"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9"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Heavy periods</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500"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9"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Vaginal dryness</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546"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4"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20"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Decreased sexual interest</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546"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4"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20" w:type="dxa"/>
            <w:tcBorders>
              <w:top w:val="nil"/>
              <w:left w:val="nil"/>
              <w:bottom w:val="nil"/>
            </w:tcBorders>
            <w:vAlign w:val="center"/>
          </w:tcPr>
          <w:p w:rsidR="00676448" w:rsidRPr="00643000" w:rsidRDefault="00676448" w:rsidP="002D7E42">
            <w:pPr>
              <w:jc w:val="center"/>
            </w:pPr>
            <w:r w:rsidRPr="00643000">
              <w:rPr>
                <w:sz w:val="22"/>
                <w:szCs w:val="22"/>
              </w:rPr>
              <w:t>*</w:t>
            </w: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Skin problems</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Tiredness</w:t>
            </w:r>
          </w:p>
        </w:tc>
        <w:tc>
          <w:tcPr>
            <w:tcW w:w="497"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r w:rsidRPr="00643000">
              <w:rPr>
                <w:sz w:val="22"/>
                <w:szCs w:val="22"/>
              </w:rPr>
              <w:t>*</w:t>
            </w:r>
          </w:p>
        </w:tc>
      </w:tr>
      <w:tr w:rsidR="00676448" w:rsidRPr="00182CAE">
        <w:trPr>
          <w:trHeight w:val="270"/>
        </w:trPr>
        <w:tc>
          <w:tcPr>
            <w:tcW w:w="2337" w:type="dxa"/>
            <w:tcBorders>
              <w:top w:val="nil"/>
              <w:bottom w:val="nil"/>
            </w:tcBorders>
          </w:tcPr>
          <w:p w:rsidR="00676448" w:rsidRPr="00643000" w:rsidRDefault="00676448" w:rsidP="002D7E42">
            <w:pPr>
              <w:rPr>
                <w:sz w:val="20"/>
                <w:szCs w:val="20"/>
              </w:rPr>
            </w:pPr>
            <w:r w:rsidRPr="00643000">
              <w:rPr>
                <w:sz w:val="20"/>
                <w:szCs w:val="20"/>
              </w:rPr>
              <w:t>Sleep difficulties</w:t>
            </w:r>
          </w:p>
        </w:tc>
        <w:tc>
          <w:tcPr>
            <w:tcW w:w="497" w:type="dxa"/>
            <w:tcBorders>
              <w:top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18" w:type="dxa"/>
            <w:tcBorders>
              <w:top w:val="nil"/>
              <w:left w:val="nil"/>
              <w:bottom w:val="nil"/>
            </w:tcBorders>
            <w:vAlign w:val="center"/>
          </w:tcPr>
          <w:p w:rsidR="00676448" w:rsidRPr="00643000" w:rsidRDefault="00676448" w:rsidP="002D7E42">
            <w:pPr>
              <w:jc w:val="center"/>
            </w:pPr>
          </w:p>
        </w:tc>
        <w:tc>
          <w:tcPr>
            <w:tcW w:w="570" w:type="dxa"/>
            <w:tcBorders>
              <w:top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91" w:type="dxa"/>
            <w:tcBorders>
              <w:top w:val="nil"/>
              <w:left w:val="nil"/>
              <w:bottom w:val="nil"/>
              <w:right w:val="nil"/>
            </w:tcBorders>
            <w:vAlign w:val="center"/>
          </w:tcPr>
          <w:p w:rsidR="00676448" w:rsidRPr="00643000" w:rsidRDefault="00676448" w:rsidP="002D7E42">
            <w:pPr>
              <w:jc w:val="center"/>
            </w:pPr>
          </w:p>
        </w:tc>
        <w:tc>
          <w:tcPr>
            <w:tcW w:w="428" w:type="dxa"/>
            <w:tcBorders>
              <w:top w:val="nil"/>
              <w:left w:val="nil"/>
              <w:bottom w:val="nil"/>
            </w:tcBorders>
            <w:vAlign w:val="center"/>
          </w:tcPr>
          <w:p w:rsidR="00676448" w:rsidRPr="00643000" w:rsidRDefault="00676448" w:rsidP="002D7E42">
            <w:pPr>
              <w:jc w:val="center"/>
            </w:pPr>
          </w:p>
        </w:tc>
        <w:tc>
          <w:tcPr>
            <w:tcW w:w="561"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98" w:type="dxa"/>
            <w:tcBorders>
              <w:top w:val="nil"/>
              <w:left w:val="nil"/>
              <w:bottom w:val="nil"/>
              <w:right w:val="nil"/>
            </w:tcBorders>
            <w:vAlign w:val="center"/>
          </w:tcPr>
          <w:p w:rsidR="00676448" w:rsidRPr="00643000" w:rsidRDefault="00676448" w:rsidP="002D7E42">
            <w:pPr>
              <w:jc w:val="center"/>
            </w:pPr>
            <w:r w:rsidRPr="00643000">
              <w:rPr>
                <w:sz w:val="22"/>
                <w:szCs w:val="22"/>
              </w:rPr>
              <w:t>*</w:t>
            </w:r>
          </w:p>
        </w:tc>
        <w:tc>
          <w:tcPr>
            <w:tcW w:w="423" w:type="dxa"/>
            <w:tcBorders>
              <w:top w:val="nil"/>
              <w:left w:val="nil"/>
              <w:bottom w:val="nil"/>
            </w:tcBorders>
            <w:vAlign w:val="center"/>
          </w:tcPr>
          <w:p w:rsidR="00676448" w:rsidRPr="00643000" w:rsidRDefault="00676448" w:rsidP="002D7E42">
            <w:pPr>
              <w:jc w:val="center"/>
            </w:pPr>
          </w:p>
        </w:tc>
        <w:tc>
          <w:tcPr>
            <w:tcW w:w="596" w:type="dxa"/>
            <w:tcBorders>
              <w:top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498" w:type="dxa"/>
            <w:tcBorders>
              <w:top w:val="nil"/>
              <w:left w:val="nil"/>
              <w:bottom w:val="nil"/>
              <w:right w:val="nil"/>
            </w:tcBorders>
            <w:vAlign w:val="center"/>
          </w:tcPr>
          <w:p w:rsidR="00676448" w:rsidRPr="00643000" w:rsidRDefault="00676448" w:rsidP="002D7E42">
            <w:pPr>
              <w:jc w:val="center"/>
            </w:pPr>
          </w:p>
        </w:tc>
        <w:tc>
          <w:tcPr>
            <w:tcW w:w="388" w:type="dxa"/>
            <w:tcBorders>
              <w:top w:val="nil"/>
              <w:left w:val="nil"/>
              <w:bottom w:val="nil"/>
            </w:tcBorders>
            <w:vAlign w:val="center"/>
          </w:tcPr>
          <w:p w:rsidR="00676448" w:rsidRPr="00643000" w:rsidRDefault="00676448" w:rsidP="002D7E42">
            <w:pPr>
              <w:jc w:val="center"/>
            </w:pPr>
          </w:p>
        </w:tc>
        <w:tc>
          <w:tcPr>
            <w:tcW w:w="500" w:type="dxa"/>
            <w:tcBorders>
              <w:top w:val="nil"/>
              <w:bottom w:val="nil"/>
              <w:right w:val="nil"/>
            </w:tcBorders>
            <w:vAlign w:val="center"/>
          </w:tcPr>
          <w:p w:rsidR="00676448" w:rsidRPr="00643000" w:rsidRDefault="00676448" w:rsidP="002D7E42">
            <w:pPr>
              <w:jc w:val="center"/>
            </w:pPr>
          </w:p>
        </w:tc>
        <w:tc>
          <w:tcPr>
            <w:tcW w:w="501" w:type="dxa"/>
            <w:tcBorders>
              <w:top w:val="nil"/>
              <w:left w:val="nil"/>
              <w:bottom w:val="nil"/>
              <w:right w:val="nil"/>
            </w:tcBorders>
            <w:vAlign w:val="center"/>
          </w:tcPr>
          <w:p w:rsidR="00676448" w:rsidRPr="00643000" w:rsidRDefault="00676448" w:rsidP="002D7E42">
            <w:pPr>
              <w:jc w:val="center"/>
            </w:pPr>
          </w:p>
        </w:tc>
        <w:tc>
          <w:tcPr>
            <w:tcW w:w="500" w:type="dxa"/>
            <w:tcBorders>
              <w:top w:val="nil"/>
              <w:left w:val="nil"/>
              <w:bottom w:val="nil"/>
              <w:right w:val="nil"/>
            </w:tcBorders>
            <w:vAlign w:val="center"/>
          </w:tcPr>
          <w:p w:rsidR="00676448" w:rsidRPr="00643000" w:rsidRDefault="00676448" w:rsidP="002D7E42">
            <w:pPr>
              <w:jc w:val="center"/>
            </w:pPr>
          </w:p>
        </w:tc>
        <w:tc>
          <w:tcPr>
            <w:tcW w:w="499" w:type="dxa"/>
            <w:tcBorders>
              <w:top w:val="nil"/>
              <w:left w:val="nil"/>
              <w:bottom w:val="nil"/>
            </w:tcBorders>
            <w:vAlign w:val="center"/>
          </w:tcPr>
          <w:p w:rsidR="00676448" w:rsidRPr="00643000" w:rsidRDefault="00676448" w:rsidP="002D7E42">
            <w:pPr>
              <w:jc w:val="center"/>
            </w:pPr>
          </w:p>
        </w:tc>
        <w:tc>
          <w:tcPr>
            <w:tcW w:w="520" w:type="dxa"/>
            <w:tcBorders>
              <w:top w:val="nil"/>
              <w:bottom w:val="nil"/>
              <w:right w:val="nil"/>
            </w:tcBorders>
            <w:vAlign w:val="center"/>
          </w:tcPr>
          <w:p w:rsidR="00676448" w:rsidRPr="00643000" w:rsidRDefault="00676448" w:rsidP="002D7E42">
            <w:pPr>
              <w:jc w:val="center"/>
            </w:pPr>
          </w:p>
        </w:tc>
        <w:tc>
          <w:tcPr>
            <w:tcW w:w="546"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20" w:type="dxa"/>
            <w:tcBorders>
              <w:top w:val="nil"/>
              <w:left w:val="nil"/>
              <w:bottom w:val="nil"/>
            </w:tcBorders>
            <w:vAlign w:val="center"/>
          </w:tcPr>
          <w:p w:rsidR="00676448" w:rsidRPr="00643000" w:rsidRDefault="00676448" w:rsidP="002D7E42">
            <w:pPr>
              <w:jc w:val="center"/>
            </w:pPr>
          </w:p>
        </w:tc>
        <w:tc>
          <w:tcPr>
            <w:tcW w:w="374" w:type="dxa"/>
            <w:tcBorders>
              <w:top w:val="nil"/>
              <w:bottom w:val="nil"/>
              <w:right w:val="nil"/>
            </w:tcBorders>
            <w:vAlign w:val="center"/>
          </w:tcPr>
          <w:p w:rsidR="00676448" w:rsidRPr="00643000" w:rsidRDefault="00676448" w:rsidP="002D7E42">
            <w:pPr>
              <w:jc w:val="center"/>
            </w:pPr>
          </w:p>
        </w:tc>
        <w:tc>
          <w:tcPr>
            <w:tcW w:w="495" w:type="dxa"/>
            <w:tcBorders>
              <w:top w:val="nil"/>
              <w:left w:val="nil"/>
              <w:bottom w:val="nil"/>
              <w:right w:val="nil"/>
            </w:tcBorders>
            <w:vAlign w:val="center"/>
          </w:tcPr>
          <w:p w:rsidR="00676448" w:rsidRPr="00643000" w:rsidRDefault="00676448" w:rsidP="002D7E42">
            <w:pPr>
              <w:jc w:val="center"/>
            </w:pPr>
          </w:p>
        </w:tc>
        <w:tc>
          <w:tcPr>
            <w:tcW w:w="494" w:type="dxa"/>
            <w:tcBorders>
              <w:top w:val="nil"/>
              <w:left w:val="nil"/>
              <w:bottom w:val="nil"/>
              <w:right w:val="nil"/>
            </w:tcBorders>
            <w:vAlign w:val="center"/>
          </w:tcPr>
          <w:p w:rsidR="00676448" w:rsidRPr="00643000" w:rsidRDefault="00676448" w:rsidP="002D7E42">
            <w:pPr>
              <w:jc w:val="center"/>
            </w:pPr>
          </w:p>
        </w:tc>
        <w:tc>
          <w:tcPr>
            <w:tcW w:w="436" w:type="dxa"/>
            <w:tcBorders>
              <w:top w:val="nil"/>
              <w:left w:val="nil"/>
              <w:bottom w:val="nil"/>
            </w:tcBorders>
            <w:vAlign w:val="center"/>
          </w:tcPr>
          <w:p w:rsidR="00676448" w:rsidRPr="00643000" w:rsidRDefault="00676448" w:rsidP="002D7E42">
            <w:pPr>
              <w:jc w:val="center"/>
            </w:pPr>
            <w:r w:rsidRPr="00643000">
              <w:rPr>
                <w:sz w:val="22"/>
                <w:szCs w:val="22"/>
              </w:rPr>
              <w:t>*</w:t>
            </w:r>
          </w:p>
        </w:tc>
      </w:tr>
      <w:tr w:rsidR="00676448" w:rsidRPr="00182CAE">
        <w:trPr>
          <w:trHeight w:val="270"/>
        </w:trPr>
        <w:tc>
          <w:tcPr>
            <w:tcW w:w="2337" w:type="dxa"/>
            <w:tcBorders>
              <w:top w:val="nil"/>
            </w:tcBorders>
          </w:tcPr>
          <w:p w:rsidR="00676448" w:rsidRPr="00643000" w:rsidRDefault="00676448" w:rsidP="002D7E42">
            <w:pPr>
              <w:rPr>
                <w:sz w:val="20"/>
                <w:szCs w:val="20"/>
              </w:rPr>
            </w:pPr>
            <w:r w:rsidRPr="00643000">
              <w:rPr>
                <w:sz w:val="20"/>
                <w:szCs w:val="20"/>
              </w:rPr>
              <w:t>Feeling bloated</w:t>
            </w:r>
          </w:p>
        </w:tc>
        <w:tc>
          <w:tcPr>
            <w:tcW w:w="497" w:type="dxa"/>
            <w:tcBorders>
              <w:top w:val="nil"/>
              <w:right w:val="nil"/>
            </w:tcBorders>
            <w:vAlign w:val="center"/>
          </w:tcPr>
          <w:p w:rsidR="00676448" w:rsidRPr="00643000" w:rsidRDefault="00676448" w:rsidP="002D7E42">
            <w:pPr>
              <w:jc w:val="center"/>
            </w:pPr>
          </w:p>
        </w:tc>
        <w:tc>
          <w:tcPr>
            <w:tcW w:w="498" w:type="dxa"/>
            <w:tcBorders>
              <w:top w:val="nil"/>
              <w:left w:val="nil"/>
              <w:right w:val="nil"/>
            </w:tcBorders>
            <w:vAlign w:val="center"/>
          </w:tcPr>
          <w:p w:rsidR="00676448" w:rsidRPr="00643000" w:rsidRDefault="00676448" w:rsidP="002D7E42">
            <w:pPr>
              <w:jc w:val="center"/>
            </w:pPr>
          </w:p>
        </w:tc>
        <w:tc>
          <w:tcPr>
            <w:tcW w:w="498" w:type="dxa"/>
            <w:tcBorders>
              <w:top w:val="nil"/>
              <w:left w:val="nil"/>
              <w:right w:val="nil"/>
            </w:tcBorders>
            <w:vAlign w:val="center"/>
          </w:tcPr>
          <w:p w:rsidR="00676448" w:rsidRPr="00643000" w:rsidRDefault="00676448" w:rsidP="002D7E42">
            <w:pPr>
              <w:jc w:val="center"/>
            </w:pPr>
          </w:p>
        </w:tc>
        <w:tc>
          <w:tcPr>
            <w:tcW w:w="418" w:type="dxa"/>
            <w:tcBorders>
              <w:top w:val="nil"/>
              <w:left w:val="nil"/>
            </w:tcBorders>
            <w:vAlign w:val="center"/>
          </w:tcPr>
          <w:p w:rsidR="00676448" w:rsidRPr="00643000" w:rsidRDefault="00676448" w:rsidP="002D7E42">
            <w:pPr>
              <w:jc w:val="center"/>
            </w:pPr>
          </w:p>
        </w:tc>
        <w:tc>
          <w:tcPr>
            <w:tcW w:w="570" w:type="dxa"/>
            <w:tcBorders>
              <w:top w:val="nil"/>
              <w:right w:val="nil"/>
            </w:tcBorders>
            <w:vAlign w:val="center"/>
          </w:tcPr>
          <w:p w:rsidR="00676448" w:rsidRPr="00643000" w:rsidRDefault="00676448" w:rsidP="002D7E42">
            <w:pPr>
              <w:jc w:val="center"/>
            </w:pPr>
          </w:p>
        </w:tc>
        <w:tc>
          <w:tcPr>
            <w:tcW w:w="491" w:type="dxa"/>
            <w:tcBorders>
              <w:top w:val="nil"/>
              <w:left w:val="nil"/>
              <w:right w:val="nil"/>
            </w:tcBorders>
            <w:vAlign w:val="center"/>
          </w:tcPr>
          <w:p w:rsidR="00676448" w:rsidRPr="00643000" w:rsidRDefault="00676448" w:rsidP="002D7E42">
            <w:pPr>
              <w:jc w:val="center"/>
            </w:pPr>
          </w:p>
        </w:tc>
        <w:tc>
          <w:tcPr>
            <w:tcW w:w="491" w:type="dxa"/>
            <w:tcBorders>
              <w:top w:val="nil"/>
              <w:left w:val="nil"/>
              <w:right w:val="nil"/>
            </w:tcBorders>
            <w:vAlign w:val="center"/>
          </w:tcPr>
          <w:p w:rsidR="00676448" w:rsidRPr="00643000" w:rsidRDefault="00676448" w:rsidP="002D7E42">
            <w:pPr>
              <w:jc w:val="center"/>
            </w:pPr>
          </w:p>
        </w:tc>
        <w:tc>
          <w:tcPr>
            <w:tcW w:w="428" w:type="dxa"/>
            <w:tcBorders>
              <w:top w:val="nil"/>
              <w:left w:val="nil"/>
            </w:tcBorders>
            <w:vAlign w:val="center"/>
          </w:tcPr>
          <w:p w:rsidR="00676448" w:rsidRPr="00643000" w:rsidRDefault="00676448" w:rsidP="002D7E42">
            <w:pPr>
              <w:jc w:val="center"/>
            </w:pPr>
          </w:p>
        </w:tc>
        <w:tc>
          <w:tcPr>
            <w:tcW w:w="561" w:type="dxa"/>
            <w:tcBorders>
              <w:top w:val="nil"/>
              <w:right w:val="nil"/>
            </w:tcBorders>
            <w:vAlign w:val="center"/>
          </w:tcPr>
          <w:p w:rsidR="00676448" w:rsidRPr="00643000" w:rsidRDefault="00676448" w:rsidP="002D7E42">
            <w:pPr>
              <w:jc w:val="center"/>
            </w:pPr>
          </w:p>
        </w:tc>
        <w:tc>
          <w:tcPr>
            <w:tcW w:w="498" w:type="dxa"/>
            <w:tcBorders>
              <w:top w:val="nil"/>
              <w:left w:val="nil"/>
              <w:right w:val="nil"/>
            </w:tcBorders>
            <w:vAlign w:val="center"/>
          </w:tcPr>
          <w:p w:rsidR="00676448" w:rsidRPr="00643000" w:rsidRDefault="00676448" w:rsidP="002D7E42">
            <w:pPr>
              <w:jc w:val="center"/>
            </w:pPr>
          </w:p>
        </w:tc>
        <w:tc>
          <w:tcPr>
            <w:tcW w:w="498" w:type="dxa"/>
            <w:tcBorders>
              <w:top w:val="nil"/>
              <w:left w:val="nil"/>
              <w:right w:val="nil"/>
            </w:tcBorders>
            <w:vAlign w:val="center"/>
          </w:tcPr>
          <w:p w:rsidR="00676448" w:rsidRPr="00643000" w:rsidRDefault="00676448" w:rsidP="002D7E42">
            <w:pPr>
              <w:jc w:val="center"/>
            </w:pPr>
          </w:p>
        </w:tc>
        <w:tc>
          <w:tcPr>
            <w:tcW w:w="423" w:type="dxa"/>
            <w:tcBorders>
              <w:top w:val="nil"/>
              <w:left w:val="nil"/>
            </w:tcBorders>
            <w:vAlign w:val="center"/>
          </w:tcPr>
          <w:p w:rsidR="00676448" w:rsidRPr="00643000" w:rsidRDefault="00676448" w:rsidP="002D7E42">
            <w:pPr>
              <w:jc w:val="center"/>
            </w:pPr>
          </w:p>
        </w:tc>
        <w:tc>
          <w:tcPr>
            <w:tcW w:w="596" w:type="dxa"/>
            <w:tcBorders>
              <w:top w:val="nil"/>
              <w:right w:val="nil"/>
            </w:tcBorders>
            <w:vAlign w:val="center"/>
          </w:tcPr>
          <w:p w:rsidR="00676448" w:rsidRPr="00643000" w:rsidRDefault="00676448" w:rsidP="002D7E42">
            <w:pPr>
              <w:jc w:val="center"/>
            </w:pPr>
          </w:p>
        </w:tc>
        <w:tc>
          <w:tcPr>
            <w:tcW w:w="498" w:type="dxa"/>
            <w:tcBorders>
              <w:top w:val="nil"/>
              <w:left w:val="nil"/>
              <w:right w:val="nil"/>
            </w:tcBorders>
            <w:vAlign w:val="center"/>
          </w:tcPr>
          <w:p w:rsidR="00676448" w:rsidRPr="00643000" w:rsidRDefault="00676448" w:rsidP="002D7E42">
            <w:pPr>
              <w:jc w:val="center"/>
            </w:pPr>
          </w:p>
        </w:tc>
        <w:tc>
          <w:tcPr>
            <w:tcW w:w="498" w:type="dxa"/>
            <w:tcBorders>
              <w:top w:val="nil"/>
              <w:left w:val="nil"/>
              <w:right w:val="nil"/>
            </w:tcBorders>
            <w:vAlign w:val="center"/>
          </w:tcPr>
          <w:p w:rsidR="00676448" w:rsidRPr="00643000" w:rsidRDefault="00676448" w:rsidP="002D7E42">
            <w:pPr>
              <w:jc w:val="center"/>
            </w:pPr>
          </w:p>
        </w:tc>
        <w:tc>
          <w:tcPr>
            <w:tcW w:w="388" w:type="dxa"/>
            <w:tcBorders>
              <w:top w:val="nil"/>
              <w:left w:val="nil"/>
            </w:tcBorders>
            <w:vAlign w:val="center"/>
          </w:tcPr>
          <w:p w:rsidR="00676448" w:rsidRPr="00643000" w:rsidRDefault="00676448" w:rsidP="002D7E42">
            <w:pPr>
              <w:jc w:val="center"/>
            </w:pPr>
          </w:p>
        </w:tc>
        <w:tc>
          <w:tcPr>
            <w:tcW w:w="500" w:type="dxa"/>
            <w:tcBorders>
              <w:top w:val="nil"/>
              <w:right w:val="nil"/>
            </w:tcBorders>
            <w:vAlign w:val="center"/>
          </w:tcPr>
          <w:p w:rsidR="00676448" w:rsidRPr="00643000" w:rsidRDefault="00676448" w:rsidP="002D7E42">
            <w:pPr>
              <w:jc w:val="center"/>
            </w:pPr>
          </w:p>
        </w:tc>
        <w:tc>
          <w:tcPr>
            <w:tcW w:w="501" w:type="dxa"/>
            <w:tcBorders>
              <w:top w:val="nil"/>
              <w:left w:val="nil"/>
              <w:right w:val="nil"/>
            </w:tcBorders>
            <w:vAlign w:val="center"/>
          </w:tcPr>
          <w:p w:rsidR="00676448" w:rsidRPr="00643000" w:rsidRDefault="00676448" w:rsidP="002D7E42">
            <w:pPr>
              <w:jc w:val="center"/>
            </w:pPr>
          </w:p>
        </w:tc>
        <w:tc>
          <w:tcPr>
            <w:tcW w:w="500" w:type="dxa"/>
            <w:tcBorders>
              <w:top w:val="nil"/>
              <w:left w:val="nil"/>
              <w:right w:val="nil"/>
            </w:tcBorders>
            <w:vAlign w:val="center"/>
          </w:tcPr>
          <w:p w:rsidR="00676448" w:rsidRPr="00643000" w:rsidRDefault="00676448" w:rsidP="002D7E42">
            <w:pPr>
              <w:jc w:val="center"/>
            </w:pPr>
          </w:p>
        </w:tc>
        <w:tc>
          <w:tcPr>
            <w:tcW w:w="499" w:type="dxa"/>
            <w:tcBorders>
              <w:top w:val="nil"/>
              <w:left w:val="nil"/>
            </w:tcBorders>
            <w:vAlign w:val="center"/>
          </w:tcPr>
          <w:p w:rsidR="00676448" w:rsidRPr="00643000" w:rsidRDefault="00676448" w:rsidP="002D7E42">
            <w:pPr>
              <w:jc w:val="center"/>
            </w:pPr>
          </w:p>
        </w:tc>
        <w:tc>
          <w:tcPr>
            <w:tcW w:w="520" w:type="dxa"/>
            <w:tcBorders>
              <w:top w:val="nil"/>
              <w:right w:val="nil"/>
            </w:tcBorders>
            <w:vAlign w:val="center"/>
          </w:tcPr>
          <w:p w:rsidR="00676448" w:rsidRPr="00643000" w:rsidRDefault="00676448" w:rsidP="002D7E42">
            <w:pPr>
              <w:jc w:val="center"/>
            </w:pPr>
          </w:p>
        </w:tc>
        <w:tc>
          <w:tcPr>
            <w:tcW w:w="546" w:type="dxa"/>
            <w:tcBorders>
              <w:top w:val="nil"/>
              <w:left w:val="nil"/>
              <w:right w:val="nil"/>
            </w:tcBorders>
            <w:vAlign w:val="center"/>
          </w:tcPr>
          <w:p w:rsidR="00676448" w:rsidRPr="00643000" w:rsidRDefault="00676448" w:rsidP="002D7E42">
            <w:pPr>
              <w:jc w:val="center"/>
            </w:pPr>
          </w:p>
        </w:tc>
        <w:tc>
          <w:tcPr>
            <w:tcW w:w="494" w:type="dxa"/>
            <w:tcBorders>
              <w:top w:val="nil"/>
              <w:left w:val="nil"/>
              <w:right w:val="nil"/>
            </w:tcBorders>
            <w:vAlign w:val="center"/>
          </w:tcPr>
          <w:p w:rsidR="00676448" w:rsidRPr="00643000" w:rsidRDefault="00676448" w:rsidP="002D7E42">
            <w:pPr>
              <w:jc w:val="center"/>
            </w:pPr>
          </w:p>
        </w:tc>
        <w:tc>
          <w:tcPr>
            <w:tcW w:w="420" w:type="dxa"/>
            <w:tcBorders>
              <w:top w:val="nil"/>
              <w:left w:val="nil"/>
            </w:tcBorders>
            <w:vAlign w:val="center"/>
          </w:tcPr>
          <w:p w:rsidR="00676448" w:rsidRPr="00643000" w:rsidRDefault="00676448" w:rsidP="002D7E42">
            <w:pPr>
              <w:jc w:val="center"/>
            </w:pPr>
          </w:p>
        </w:tc>
        <w:tc>
          <w:tcPr>
            <w:tcW w:w="374" w:type="dxa"/>
            <w:tcBorders>
              <w:top w:val="nil"/>
              <w:right w:val="nil"/>
            </w:tcBorders>
            <w:vAlign w:val="center"/>
          </w:tcPr>
          <w:p w:rsidR="00676448" w:rsidRPr="00643000" w:rsidRDefault="00676448" w:rsidP="002D7E42">
            <w:pPr>
              <w:jc w:val="center"/>
            </w:pPr>
            <w:r w:rsidRPr="00643000">
              <w:rPr>
                <w:sz w:val="22"/>
                <w:szCs w:val="22"/>
              </w:rPr>
              <w:t>*</w:t>
            </w:r>
          </w:p>
        </w:tc>
        <w:tc>
          <w:tcPr>
            <w:tcW w:w="495" w:type="dxa"/>
            <w:tcBorders>
              <w:top w:val="nil"/>
              <w:left w:val="nil"/>
              <w:right w:val="nil"/>
            </w:tcBorders>
            <w:vAlign w:val="center"/>
          </w:tcPr>
          <w:p w:rsidR="00676448" w:rsidRPr="00643000" w:rsidRDefault="00676448" w:rsidP="002D7E42">
            <w:pPr>
              <w:jc w:val="center"/>
            </w:pPr>
            <w:r w:rsidRPr="00643000">
              <w:rPr>
                <w:sz w:val="22"/>
                <w:szCs w:val="22"/>
              </w:rPr>
              <w:t>*</w:t>
            </w:r>
          </w:p>
        </w:tc>
        <w:tc>
          <w:tcPr>
            <w:tcW w:w="494" w:type="dxa"/>
            <w:tcBorders>
              <w:top w:val="nil"/>
              <w:left w:val="nil"/>
              <w:right w:val="nil"/>
            </w:tcBorders>
            <w:vAlign w:val="center"/>
          </w:tcPr>
          <w:p w:rsidR="00676448" w:rsidRPr="00643000" w:rsidRDefault="00676448" w:rsidP="002D7E42">
            <w:pPr>
              <w:jc w:val="center"/>
            </w:pPr>
            <w:r w:rsidRPr="00643000">
              <w:rPr>
                <w:sz w:val="22"/>
                <w:szCs w:val="22"/>
              </w:rPr>
              <w:t>*</w:t>
            </w:r>
          </w:p>
        </w:tc>
        <w:tc>
          <w:tcPr>
            <w:tcW w:w="436" w:type="dxa"/>
            <w:tcBorders>
              <w:top w:val="nil"/>
              <w:left w:val="nil"/>
            </w:tcBorders>
            <w:vAlign w:val="center"/>
          </w:tcPr>
          <w:p w:rsidR="00676448" w:rsidRPr="00643000" w:rsidRDefault="00676448" w:rsidP="002D7E42">
            <w:pPr>
              <w:jc w:val="center"/>
            </w:pPr>
            <w:r w:rsidRPr="00643000">
              <w:rPr>
                <w:sz w:val="22"/>
                <w:szCs w:val="22"/>
              </w:rPr>
              <w:t>*</w:t>
            </w:r>
          </w:p>
        </w:tc>
      </w:tr>
      <w:tr w:rsidR="00676448" w:rsidRPr="00182CAE">
        <w:trPr>
          <w:trHeight w:val="550"/>
        </w:trPr>
        <w:tc>
          <w:tcPr>
            <w:tcW w:w="15967" w:type="dxa"/>
            <w:gridSpan w:val="29"/>
            <w:tcBorders>
              <w:left w:val="nil"/>
              <w:bottom w:val="nil"/>
              <w:right w:val="nil"/>
            </w:tcBorders>
          </w:tcPr>
          <w:p w:rsidR="00676448" w:rsidRDefault="00676448" w:rsidP="00AD758D">
            <w:pPr>
              <w:rPr>
                <w:sz w:val="18"/>
                <w:szCs w:val="18"/>
              </w:rPr>
            </w:pPr>
          </w:p>
          <w:p w:rsidR="00676448" w:rsidRPr="00AD758D" w:rsidRDefault="00676448" w:rsidP="00AD758D">
            <w:pPr>
              <w:rPr>
                <w:sz w:val="18"/>
                <w:szCs w:val="18"/>
              </w:rPr>
            </w:pPr>
            <w:r w:rsidRPr="00AD758D">
              <w:rPr>
                <w:sz w:val="18"/>
                <w:szCs w:val="18"/>
              </w:rPr>
              <w:t xml:space="preserve">Pr= </w:t>
            </w:r>
            <w:r>
              <w:rPr>
                <w:sz w:val="18"/>
                <w:szCs w:val="18"/>
              </w:rPr>
              <w:t xml:space="preserve">premenopausal women; </w:t>
            </w:r>
            <w:proofErr w:type="spellStart"/>
            <w:r>
              <w:rPr>
                <w:sz w:val="18"/>
                <w:szCs w:val="18"/>
              </w:rPr>
              <w:t>Pe</w:t>
            </w:r>
            <w:proofErr w:type="spellEnd"/>
            <w:r>
              <w:rPr>
                <w:sz w:val="18"/>
                <w:szCs w:val="18"/>
              </w:rPr>
              <w:t xml:space="preserve">= </w:t>
            </w:r>
            <w:proofErr w:type="spellStart"/>
            <w:r>
              <w:rPr>
                <w:sz w:val="18"/>
                <w:szCs w:val="18"/>
              </w:rPr>
              <w:t>perimenopausal</w:t>
            </w:r>
            <w:proofErr w:type="spellEnd"/>
            <w:r>
              <w:rPr>
                <w:sz w:val="18"/>
                <w:szCs w:val="18"/>
              </w:rPr>
              <w:t xml:space="preserve"> women; Po= postmenopausal women; S= surgically menopausal women</w:t>
            </w:r>
          </w:p>
        </w:tc>
      </w:tr>
    </w:tbl>
    <w:p w:rsidR="00676448" w:rsidRPr="00F54FA2" w:rsidRDefault="00676448" w:rsidP="00F54FA2">
      <w:pPr>
        <w:spacing w:line="360" w:lineRule="auto"/>
        <w:jc w:val="both"/>
        <w:rPr>
          <w:b/>
          <w:bCs/>
        </w:rPr>
      </w:pPr>
      <w:proofErr w:type="gramStart"/>
      <w:r w:rsidRPr="00A76ACB">
        <w:rPr>
          <w:b/>
          <w:bCs/>
          <w:color w:val="0000FF"/>
        </w:rPr>
        <w:t>Table 2</w:t>
      </w:r>
      <w:r w:rsidRPr="00F54FA2">
        <w:t>.</w:t>
      </w:r>
      <w:proofErr w:type="gramEnd"/>
      <w:r w:rsidRPr="00F54FA2">
        <w:t xml:space="preserve"> </w:t>
      </w:r>
      <w:r w:rsidRPr="00F54FA2">
        <w:rPr>
          <w:b/>
          <w:bCs/>
        </w:rPr>
        <w:t>Factor</w:t>
      </w:r>
      <w:r>
        <w:rPr>
          <w:b/>
          <w:bCs/>
        </w:rPr>
        <w:t xml:space="preserve"> analysis of </w:t>
      </w:r>
      <w:r w:rsidRPr="00F54FA2">
        <w:rPr>
          <w:b/>
          <w:bCs/>
        </w:rPr>
        <w:t>s</w:t>
      </w:r>
      <w:r>
        <w:rPr>
          <w:b/>
          <w:bCs/>
        </w:rPr>
        <w:t>ymptoms</w:t>
      </w:r>
      <w:r w:rsidRPr="00F54FA2">
        <w:rPr>
          <w:b/>
          <w:bCs/>
        </w:rPr>
        <w:t xml:space="preserve"> common to all </w:t>
      </w:r>
      <w:r>
        <w:rPr>
          <w:b/>
          <w:bCs/>
        </w:rPr>
        <w:t>menopausal groups</w:t>
      </w:r>
    </w:p>
    <w:p w:rsidR="00676448" w:rsidRPr="00F54FA2" w:rsidRDefault="00676448" w:rsidP="00F54FA2">
      <w:pPr>
        <w:spacing w:line="360" w:lineRule="auto"/>
        <w:jc w:val="both"/>
        <w:sectPr w:rsidR="00676448" w:rsidRPr="00F54FA2" w:rsidSect="00F54FA2">
          <w:pgSz w:w="16838" w:h="11906" w:orient="landscape"/>
          <w:pgMar w:top="1797" w:right="1440" w:bottom="1797" w:left="1440" w:header="709" w:footer="709" w:gutter="0"/>
          <w:cols w:space="708"/>
          <w:docGrid w:linePitch="360"/>
        </w:sectPr>
      </w:pPr>
    </w:p>
    <w:p w:rsidR="00676448" w:rsidRPr="007C18B9" w:rsidRDefault="00676448" w:rsidP="007C18B9">
      <w:pPr>
        <w:pStyle w:val="Caption"/>
        <w:spacing w:before="0" w:after="0"/>
        <w:outlineLvl w:val="0"/>
        <w:rPr>
          <w:rFonts w:ascii="Times New Roman" w:hAnsi="Times New Roman" w:cs="Times New Roman"/>
          <w:sz w:val="24"/>
          <w:szCs w:val="24"/>
        </w:rPr>
      </w:pPr>
      <w:bookmarkStart w:id="0" w:name="_Toc287525456"/>
      <w:bookmarkStart w:id="1" w:name="_Toc288039673"/>
      <w:bookmarkStart w:id="2" w:name="_Toc292958533"/>
      <w:bookmarkStart w:id="3" w:name="_Toc292958840"/>
      <w:proofErr w:type="gramStart"/>
      <w:r w:rsidRPr="00A76ACB">
        <w:rPr>
          <w:rFonts w:ascii="Times New Roman" w:hAnsi="Times New Roman" w:cs="Times New Roman"/>
          <w:color w:val="0000FF"/>
          <w:sz w:val="24"/>
          <w:szCs w:val="24"/>
        </w:rPr>
        <w:lastRenderedPageBreak/>
        <w:t>Table 3.</w:t>
      </w:r>
      <w:proofErr w:type="gramEnd"/>
      <w:r w:rsidRPr="007C18B9">
        <w:rPr>
          <w:rFonts w:ascii="Times New Roman" w:hAnsi="Times New Roman" w:cs="Times New Roman"/>
          <w:sz w:val="24"/>
          <w:szCs w:val="24"/>
        </w:rPr>
        <w:t xml:space="preserve"> Factors independently associated with</w:t>
      </w:r>
      <w:r>
        <w:rPr>
          <w:rFonts w:ascii="Times New Roman" w:hAnsi="Times New Roman" w:cs="Times New Roman"/>
          <w:sz w:val="24"/>
          <w:szCs w:val="24"/>
        </w:rPr>
        <w:t xml:space="preserve"> the</w:t>
      </w:r>
      <w:r w:rsidRPr="007C18B9">
        <w:rPr>
          <w:rFonts w:ascii="Times New Roman" w:hAnsi="Times New Roman" w:cs="Times New Roman"/>
          <w:sz w:val="24"/>
          <w:szCs w:val="24"/>
        </w:rPr>
        <w:t xml:space="preserve"> reporting </w:t>
      </w:r>
      <w:r>
        <w:rPr>
          <w:rFonts w:ascii="Times New Roman" w:hAnsi="Times New Roman" w:cs="Times New Roman"/>
          <w:sz w:val="24"/>
          <w:szCs w:val="24"/>
        </w:rPr>
        <w:t>of classic</w:t>
      </w:r>
      <w:r w:rsidRPr="007C18B9">
        <w:rPr>
          <w:rFonts w:ascii="Times New Roman" w:hAnsi="Times New Roman" w:cs="Times New Roman"/>
          <w:sz w:val="24"/>
          <w:szCs w:val="24"/>
        </w:rPr>
        <w:t xml:space="preserve"> menopausal symptoms (N=4407)</w:t>
      </w:r>
      <w:bookmarkEnd w:id="0"/>
      <w:bookmarkEnd w:id="1"/>
      <w:bookmarkEnd w:id="2"/>
      <w:bookmarkEnd w:id="3"/>
    </w:p>
    <w:tbl>
      <w:tblPr>
        <w:tblW w:w="4598" w:type="pct"/>
        <w:tblInd w:w="108" w:type="dxa"/>
        <w:tblLayout w:type="fixed"/>
        <w:tblLook w:val="01E0"/>
      </w:tblPr>
      <w:tblGrid>
        <w:gridCol w:w="3726"/>
        <w:gridCol w:w="714"/>
        <w:gridCol w:w="2388"/>
        <w:gridCol w:w="326"/>
        <w:gridCol w:w="688"/>
        <w:gridCol w:w="2125"/>
        <w:gridCol w:w="349"/>
        <w:gridCol w:w="766"/>
        <w:gridCol w:w="1952"/>
      </w:tblGrid>
      <w:tr w:rsidR="00676448" w:rsidRPr="008B4B4C">
        <w:tc>
          <w:tcPr>
            <w:tcW w:w="1429" w:type="pct"/>
            <w:tcBorders>
              <w:top w:val="single" w:sz="4" w:space="0" w:color="auto"/>
              <w:left w:val="single" w:sz="4" w:space="0" w:color="auto"/>
              <w:bottom w:val="single" w:sz="4" w:space="0" w:color="auto"/>
            </w:tcBorders>
            <w:vAlign w:val="center"/>
          </w:tcPr>
          <w:p w:rsidR="00676448" w:rsidRPr="008B4B4C" w:rsidRDefault="00676448" w:rsidP="00987337">
            <w:pPr>
              <w:rPr>
                <w:b/>
                <w:bCs/>
              </w:rPr>
            </w:pPr>
          </w:p>
        </w:tc>
        <w:tc>
          <w:tcPr>
            <w:tcW w:w="1190" w:type="pct"/>
            <w:gridSpan w:val="2"/>
            <w:tcBorders>
              <w:top w:val="single" w:sz="4" w:space="0" w:color="auto"/>
              <w:bottom w:val="single" w:sz="4" w:space="0" w:color="auto"/>
            </w:tcBorders>
            <w:vAlign w:val="center"/>
          </w:tcPr>
          <w:p w:rsidR="00676448" w:rsidRPr="008B4B4C" w:rsidRDefault="00676448" w:rsidP="00987337">
            <w:pPr>
              <w:jc w:val="center"/>
              <w:rPr>
                <w:b/>
                <w:bCs/>
              </w:rPr>
            </w:pPr>
            <w:r w:rsidRPr="008B4B4C">
              <w:rPr>
                <w:b/>
                <w:bCs/>
                <w:sz w:val="22"/>
                <w:szCs w:val="22"/>
              </w:rPr>
              <w:t>Hot flushes</w:t>
            </w:r>
          </w:p>
        </w:tc>
        <w:tc>
          <w:tcPr>
            <w:tcW w:w="125" w:type="pct"/>
            <w:tcBorders>
              <w:top w:val="single" w:sz="4" w:space="0" w:color="auto"/>
              <w:bottom w:val="single" w:sz="4" w:space="0" w:color="auto"/>
            </w:tcBorders>
          </w:tcPr>
          <w:p w:rsidR="00676448" w:rsidRPr="008B4B4C" w:rsidRDefault="00676448" w:rsidP="00987337">
            <w:pPr>
              <w:jc w:val="center"/>
              <w:rPr>
                <w:b/>
                <w:bCs/>
              </w:rPr>
            </w:pPr>
          </w:p>
        </w:tc>
        <w:tc>
          <w:tcPr>
            <w:tcW w:w="1079" w:type="pct"/>
            <w:gridSpan w:val="2"/>
            <w:tcBorders>
              <w:top w:val="single" w:sz="4" w:space="0" w:color="auto"/>
              <w:bottom w:val="single" w:sz="4" w:space="0" w:color="auto"/>
            </w:tcBorders>
          </w:tcPr>
          <w:p w:rsidR="00676448" w:rsidRPr="008B4B4C" w:rsidRDefault="00676448" w:rsidP="00987337">
            <w:pPr>
              <w:jc w:val="center"/>
              <w:rPr>
                <w:b/>
                <w:bCs/>
              </w:rPr>
            </w:pPr>
            <w:r w:rsidRPr="008B4B4C">
              <w:rPr>
                <w:b/>
                <w:bCs/>
                <w:sz w:val="22"/>
                <w:szCs w:val="22"/>
              </w:rPr>
              <w:t>Night sweats</w:t>
            </w:r>
          </w:p>
        </w:tc>
        <w:tc>
          <w:tcPr>
            <w:tcW w:w="134" w:type="pct"/>
            <w:tcBorders>
              <w:top w:val="single" w:sz="4" w:space="0" w:color="auto"/>
              <w:bottom w:val="single" w:sz="4" w:space="0" w:color="auto"/>
            </w:tcBorders>
          </w:tcPr>
          <w:p w:rsidR="00676448" w:rsidRPr="008B4B4C" w:rsidRDefault="00676448" w:rsidP="00987337">
            <w:pPr>
              <w:jc w:val="center"/>
              <w:rPr>
                <w:b/>
                <w:bCs/>
              </w:rPr>
            </w:pPr>
          </w:p>
        </w:tc>
        <w:tc>
          <w:tcPr>
            <w:tcW w:w="1043" w:type="pct"/>
            <w:gridSpan w:val="2"/>
            <w:tcBorders>
              <w:top w:val="single" w:sz="4" w:space="0" w:color="auto"/>
              <w:bottom w:val="single" w:sz="4" w:space="0" w:color="auto"/>
              <w:right w:val="single" w:sz="4" w:space="0" w:color="auto"/>
            </w:tcBorders>
          </w:tcPr>
          <w:p w:rsidR="00676448" w:rsidRPr="008B4B4C" w:rsidRDefault="00676448" w:rsidP="00987337">
            <w:pPr>
              <w:jc w:val="center"/>
              <w:rPr>
                <w:b/>
                <w:bCs/>
              </w:rPr>
            </w:pPr>
            <w:r w:rsidRPr="008B4B4C">
              <w:rPr>
                <w:b/>
                <w:bCs/>
                <w:sz w:val="22"/>
                <w:szCs w:val="22"/>
              </w:rPr>
              <w:t>Vaginal dryness</w:t>
            </w:r>
          </w:p>
        </w:tc>
      </w:tr>
      <w:tr w:rsidR="00676448" w:rsidRPr="008B4B4C">
        <w:tc>
          <w:tcPr>
            <w:tcW w:w="1429" w:type="pct"/>
            <w:tcBorders>
              <w:top w:val="single" w:sz="4" w:space="0" w:color="auto"/>
              <w:left w:val="single" w:sz="4" w:space="0" w:color="auto"/>
              <w:bottom w:val="single" w:sz="4" w:space="0" w:color="auto"/>
            </w:tcBorders>
            <w:vAlign w:val="center"/>
          </w:tcPr>
          <w:p w:rsidR="00676448" w:rsidRPr="008B4B4C" w:rsidRDefault="00676448" w:rsidP="00987337">
            <w:pPr>
              <w:rPr>
                <w:b/>
                <w:bCs/>
              </w:rPr>
            </w:pPr>
            <w:r w:rsidRPr="008B4B4C">
              <w:rPr>
                <w:b/>
                <w:bCs/>
                <w:sz w:val="22"/>
                <w:szCs w:val="22"/>
              </w:rPr>
              <w:t>Factors investigated</w:t>
            </w:r>
          </w:p>
        </w:tc>
        <w:tc>
          <w:tcPr>
            <w:tcW w:w="274" w:type="pct"/>
            <w:tcBorders>
              <w:top w:val="single" w:sz="4" w:space="0" w:color="auto"/>
              <w:bottom w:val="single" w:sz="4" w:space="0" w:color="auto"/>
            </w:tcBorders>
            <w:vAlign w:val="center"/>
          </w:tcPr>
          <w:p w:rsidR="00676448" w:rsidRPr="008B4B4C" w:rsidRDefault="00676448" w:rsidP="00987337">
            <w:pPr>
              <w:jc w:val="center"/>
              <w:rPr>
                <w:b/>
                <w:bCs/>
              </w:rPr>
            </w:pPr>
            <w:r w:rsidRPr="008B4B4C">
              <w:rPr>
                <w:b/>
                <w:bCs/>
                <w:sz w:val="22"/>
                <w:szCs w:val="22"/>
              </w:rPr>
              <w:t>n</w:t>
            </w:r>
            <w:r w:rsidRPr="006D3EB9">
              <w:rPr>
                <w:b/>
                <w:bCs/>
                <w:sz w:val="22"/>
                <w:szCs w:val="22"/>
                <w:vertAlign w:val="superscript"/>
              </w:rPr>
              <w:t xml:space="preserve"> </w:t>
            </w:r>
            <w:r w:rsidRPr="00B8524F">
              <w:rPr>
                <w:rStyle w:val="FootnoteReference"/>
                <w:rFonts w:ascii="Times New Roman" w:hAnsi="Times New Roman" w:cs="Times New Roman"/>
                <w:b/>
                <w:bCs/>
                <w:sz w:val="18"/>
                <w:szCs w:val="18"/>
              </w:rPr>
              <w:footnoteReference w:id="4"/>
            </w:r>
            <w:r w:rsidRPr="008B4B4C">
              <w:rPr>
                <w:b/>
                <w:bCs/>
                <w:sz w:val="22"/>
                <w:szCs w:val="22"/>
              </w:rPr>
              <w:t xml:space="preserve"> </w:t>
            </w:r>
          </w:p>
        </w:tc>
        <w:tc>
          <w:tcPr>
            <w:tcW w:w="916" w:type="pct"/>
            <w:tcBorders>
              <w:top w:val="single" w:sz="4" w:space="0" w:color="auto"/>
              <w:bottom w:val="single" w:sz="4" w:space="0" w:color="auto"/>
            </w:tcBorders>
            <w:vAlign w:val="center"/>
          </w:tcPr>
          <w:p w:rsidR="00676448" w:rsidRPr="008B4B4C" w:rsidRDefault="00676448" w:rsidP="00987337">
            <w:pPr>
              <w:jc w:val="center"/>
              <w:rPr>
                <w:b/>
                <w:bCs/>
              </w:rPr>
            </w:pPr>
            <w:r w:rsidRPr="008B4B4C">
              <w:rPr>
                <w:b/>
                <w:bCs/>
                <w:sz w:val="22"/>
                <w:szCs w:val="22"/>
              </w:rPr>
              <w:t>Adjusted ORs</w:t>
            </w:r>
          </w:p>
          <w:p w:rsidR="00676448" w:rsidRPr="008B4B4C" w:rsidRDefault="00676448" w:rsidP="00987337">
            <w:pPr>
              <w:jc w:val="center"/>
              <w:rPr>
                <w:b/>
                <w:bCs/>
              </w:rPr>
            </w:pPr>
            <w:r w:rsidRPr="008B4B4C">
              <w:rPr>
                <w:b/>
                <w:bCs/>
                <w:sz w:val="22"/>
                <w:szCs w:val="22"/>
              </w:rPr>
              <w:t>(95% CI)</w:t>
            </w:r>
          </w:p>
        </w:tc>
        <w:tc>
          <w:tcPr>
            <w:tcW w:w="125" w:type="pct"/>
            <w:tcBorders>
              <w:top w:val="single" w:sz="4" w:space="0" w:color="auto"/>
              <w:bottom w:val="single" w:sz="4" w:space="0" w:color="auto"/>
            </w:tcBorders>
          </w:tcPr>
          <w:p w:rsidR="00676448" w:rsidRPr="008B4B4C" w:rsidRDefault="00676448" w:rsidP="00987337">
            <w:pPr>
              <w:jc w:val="center"/>
              <w:rPr>
                <w:b/>
                <w:bCs/>
              </w:rPr>
            </w:pPr>
          </w:p>
        </w:tc>
        <w:tc>
          <w:tcPr>
            <w:tcW w:w="264" w:type="pct"/>
            <w:tcBorders>
              <w:top w:val="single" w:sz="4" w:space="0" w:color="auto"/>
              <w:bottom w:val="single" w:sz="4" w:space="0" w:color="auto"/>
            </w:tcBorders>
            <w:vAlign w:val="center"/>
          </w:tcPr>
          <w:p w:rsidR="00676448" w:rsidRPr="008B4B4C" w:rsidRDefault="00676448" w:rsidP="00987337">
            <w:pPr>
              <w:jc w:val="center"/>
              <w:rPr>
                <w:b/>
                <w:bCs/>
              </w:rPr>
            </w:pPr>
            <w:r>
              <w:rPr>
                <w:b/>
                <w:bCs/>
                <w:sz w:val="22"/>
                <w:szCs w:val="22"/>
              </w:rPr>
              <w:t>n</w:t>
            </w:r>
            <w:r w:rsidRPr="00B8524F">
              <w:rPr>
                <w:b/>
                <w:bCs/>
                <w:sz w:val="18"/>
                <w:szCs w:val="18"/>
                <w:vertAlign w:val="superscript"/>
              </w:rPr>
              <w:t>1</w:t>
            </w:r>
            <w:r w:rsidRPr="006D3EB9">
              <w:rPr>
                <w:b/>
                <w:bCs/>
                <w:sz w:val="22"/>
                <w:szCs w:val="22"/>
                <w:vertAlign w:val="superscript"/>
              </w:rPr>
              <w:t xml:space="preserve"> </w:t>
            </w:r>
          </w:p>
        </w:tc>
        <w:tc>
          <w:tcPr>
            <w:tcW w:w="815" w:type="pct"/>
            <w:tcBorders>
              <w:top w:val="single" w:sz="4" w:space="0" w:color="auto"/>
              <w:bottom w:val="single" w:sz="4" w:space="0" w:color="auto"/>
            </w:tcBorders>
            <w:vAlign w:val="center"/>
          </w:tcPr>
          <w:p w:rsidR="00676448" w:rsidRPr="008B4B4C" w:rsidRDefault="00676448" w:rsidP="00987337">
            <w:pPr>
              <w:jc w:val="center"/>
              <w:rPr>
                <w:b/>
                <w:bCs/>
              </w:rPr>
            </w:pPr>
            <w:r w:rsidRPr="008B4B4C">
              <w:rPr>
                <w:b/>
                <w:bCs/>
                <w:sz w:val="22"/>
                <w:szCs w:val="22"/>
              </w:rPr>
              <w:t>Adjusted ORs</w:t>
            </w:r>
          </w:p>
          <w:p w:rsidR="00676448" w:rsidRPr="008B4B4C" w:rsidRDefault="00676448" w:rsidP="00987337">
            <w:pPr>
              <w:jc w:val="center"/>
              <w:rPr>
                <w:b/>
                <w:bCs/>
              </w:rPr>
            </w:pPr>
            <w:r w:rsidRPr="008B4B4C">
              <w:rPr>
                <w:b/>
                <w:bCs/>
                <w:sz w:val="22"/>
                <w:szCs w:val="22"/>
              </w:rPr>
              <w:t>(95% CI)</w:t>
            </w:r>
          </w:p>
        </w:tc>
        <w:tc>
          <w:tcPr>
            <w:tcW w:w="134" w:type="pct"/>
            <w:tcBorders>
              <w:top w:val="single" w:sz="4" w:space="0" w:color="auto"/>
              <w:bottom w:val="single" w:sz="4" w:space="0" w:color="auto"/>
            </w:tcBorders>
            <w:vAlign w:val="center"/>
          </w:tcPr>
          <w:p w:rsidR="00676448" w:rsidRPr="008B4B4C" w:rsidRDefault="00676448" w:rsidP="00987337">
            <w:pPr>
              <w:jc w:val="center"/>
              <w:rPr>
                <w:b/>
                <w:bCs/>
              </w:rPr>
            </w:pPr>
          </w:p>
        </w:tc>
        <w:tc>
          <w:tcPr>
            <w:tcW w:w="294" w:type="pct"/>
            <w:tcBorders>
              <w:top w:val="single" w:sz="4" w:space="0" w:color="auto"/>
              <w:bottom w:val="single" w:sz="4" w:space="0" w:color="auto"/>
            </w:tcBorders>
            <w:vAlign w:val="center"/>
          </w:tcPr>
          <w:p w:rsidR="00676448" w:rsidRPr="008B4B4C" w:rsidRDefault="00676448" w:rsidP="00987337">
            <w:pPr>
              <w:jc w:val="center"/>
              <w:rPr>
                <w:b/>
                <w:bCs/>
              </w:rPr>
            </w:pPr>
            <w:r w:rsidRPr="008B4B4C">
              <w:rPr>
                <w:b/>
                <w:bCs/>
                <w:sz w:val="22"/>
                <w:szCs w:val="22"/>
              </w:rPr>
              <w:t>n</w:t>
            </w:r>
            <w:r w:rsidRPr="00B8524F">
              <w:rPr>
                <w:b/>
                <w:bCs/>
                <w:sz w:val="18"/>
                <w:szCs w:val="18"/>
                <w:vertAlign w:val="superscript"/>
              </w:rPr>
              <w:t>1</w:t>
            </w:r>
          </w:p>
        </w:tc>
        <w:tc>
          <w:tcPr>
            <w:tcW w:w="749" w:type="pct"/>
            <w:tcBorders>
              <w:top w:val="single" w:sz="4" w:space="0" w:color="auto"/>
              <w:bottom w:val="single" w:sz="4" w:space="0" w:color="auto"/>
              <w:right w:val="single" w:sz="4" w:space="0" w:color="auto"/>
            </w:tcBorders>
            <w:vAlign w:val="center"/>
          </w:tcPr>
          <w:p w:rsidR="00676448" w:rsidRPr="008B4B4C" w:rsidRDefault="00676448" w:rsidP="00987337">
            <w:pPr>
              <w:jc w:val="center"/>
              <w:rPr>
                <w:b/>
                <w:bCs/>
              </w:rPr>
            </w:pPr>
            <w:r w:rsidRPr="008B4B4C">
              <w:rPr>
                <w:b/>
                <w:bCs/>
                <w:sz w:val="22"/>
                <w:szCs w:val="22"/>
              </w:rPr>
              <w:t>Adjusted ORs</w:t>
            </w:r>
          </w:p>
          <w:p w:rsidR="00676448" w:rsidRPr="008B4B4C" w:rsidRDefault="00676448" w:rsidP="00987337">
            <w:pPr>
              <w:jc w:val="center"/>
              <w:rPr>
                <w:b/>
                <w:bCs/>
              </w:rPr>
            </w:pPr>
            <w:r w:rsidRPr="008B4B4C">
              <w:rPr>
                <w:b/>
                <w:bCs/>
                <w:sz w:val="22"/>
                <w:szCs w:val="22"/>
              </w:rPr>
              <w:t>(95% CI)</w:t>
            </w: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Menopausal status</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Premenopausa</w:t>
            </w:r>
            <w:r w:rsidRPr="00B8524F">
              <w:rPr>
                <w:sz w:val="18"/>
                <w:szCs w:val="18"/>
              </w:rPr>
              <w:t>l</w:t>
            </w:r>
            <w:r w:rsidRPr="00B8524F">
              <w:rPr>
                <w:sz w:val="18"/>
                <w:szCs w:val="18"/>
                <w:vertAlign w:val="superscript"/>
              </w:rPr>
              <w:t>2</w:t>
            </w:r>
          </w:p>
        </w:tc>
        <w:tc>
          <w:tcPr>
            <w:tcW w:w="274" w:type="pct"/>
          </w:tcPr>
          <w:p w:rsidR="00676448" w:rsidRPr="008B4B4C" w:rsidRDefault="00676448" w:rsidP="00987337">
            <w:pPr>
              <w:jc w:val="center"/>
            </w:pPr>
            <w:r w:rsidRPr="008B4B4C">
              <w:rPr>
                <w:sz w:val="22"/>
                <w:szCs w:val="22"/>
              </w:rPr>
              <w:t xml:space="preserve">818 </w:t>
            </w:r>
          </w:p>
        </w:tc>
        <w:tc>
          <w:tcPr>
            <w:tcW w:w="916" w:type="pct"/>
          </w:tcPr>
          <w:p w:rsidR="00676448" w:rsidRPr="008B4B4C" w:rsidRDefault="00676448" w:rsidP="00987337">
            <w:pPr>
              <w:jc w:val="center"/>
            </w:pPr>
            <w:r w:rsidRPr="008B4B4C">
              <w:rPr>
                <w:sz w:val="22"/>
                <w:szCs w:val="22"/>
              </w:rPr>
              <w:t>1.00</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818</w:t>
            </w:r>
          </w:p>
        </w:tc>
        <w:tc>
          <w:tcPr>
            <w:tcW w:w="749" w:type="pct"/>
            <w:tcBorders>
              <w:right w:val="single" w:sz="4" w:space="0" w:color="auto"/>
            </w:tcBorders>
          </w:tcPr>
          <w:p w:rsidR="00676448" w:rsidRPr="008B4B4C" w:rsidRDefault="00676448" w:rsidP="00987337">
            <w:pPr>
              <w:jc w:val="center"/>
            </w:pPr>
            <w:r w:rsidRPr="008B4B4C">
              <w:rPr>
                <w:sz w:val="22"/>
                <w:szCs w:val="22"/>
              </w:rPr>
              <w:t>1.00</w:t>
            </w:r>
          </w:p>
        </w:tc>
      </w:tr>
      <w:tr w:rsidR="00676448" w:rsidRPr="008B4B4C">
        <w:tc>
          <w:tcPr>
            <w:tcW w:w="1429" w:type="pct"/>
            <w:tcBorders>
              <w:left w:val="single" w:sz="4" w:space="0" w:color="auto"/>
            </w:tcBorders>
          </w:tcPr>
          <w:p w:rsidR="00676448" w:rsidRPr="008B4B4C" w:rsidRDefault="00676448" w:rsidP="00987337">
            <w:proofErr w:type="spellStart"/>
            <w:r w:rsidRPr="008B4B4C">
              <w:rPr>
                <w:sz w:val="22"/>
                <w:szCs w:val="22"/>
              </w:rPr>
              <w:t>Perimenopausal</w:t>
            </w:r>
            <w:proofErr w:type="spellEnd"/>
          </w:p>
        </w:tc>
        <w:tc>
          <w:tcPr>
            <w:tcW w:w="274" w:type="pct"/>
          </w:tcPr>
          <w:p w:rsidR="00676448" w:rsidRPr="008B4B4C" w:rsidRDefault="00676448" w:rsidP="00987337">
            <w:pPr>
              <w:jc w:val="center"/>
            </w:pPr>
            <w:r w:rsidRPr="008B4B4C">
              <w:rPr>
                <w:sz w:val="22"/>
                <w:szCs w:val="22"/>
              </w:rPr>
              <w:t>891</w:t>
            </w:r>
          </w:p>
        </w:tc>
        <w:tc>
          <w:tcPr>
            <w:tcW w:w="916" w:type="pct"/>
          </w:tcPr>
          <w:p w:rsidR="00676448" w:rsidRPr="008B4B4C" w:rsidRDefault="00676448" w:rsidP="00987337">
            <w:pPr>
              <w:jc w:val="center"/>
            </w:pPr>
            <w:r w:rsidRPr="008B4B4C">
              <w:rPr>
                <w:sz w:val="22"/>
                <w:szCs w:val="22"/>
              </w:rPr>
              <w:t>3.18 (2.29 to 4.43)</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891</w:t>
            </w:r>
          </w:p>
        </w:tc>
        <w:tc>
          <w:tcPr>
            <w:tcW w:w="749" w:type="pct"/>
            <w:tcBorders>
              <w:right w:val="single" w:sz="4" w:space="0" w:color="auto"/>
            </w:tcBorders>
          </w:tcPr>
          <w:p w:rsidR="00676448" w:rsidRPr="008B4B4C" w:rsidRDefault="00676448" w:rsidP="00987337">
            <w:pPr>
              <w:jc w:val="center"/>
            </w:pPr>
            <w:r w:rsidRPr="008B4B4C">
              <w:rPr>
                <w:sz w:val="22"/>
                <w:szCs w:val="22"/>
              </w:rPr>
              <w:t>1.16 (0.86 to 1.55)</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Postmenopausal</w:t>
            </w:r>
          </w:p>
        </w:tc>
        <w:tc>
          <w:tcPr>
            <w:tcW w:w="274" w:type="pct"/>
          </w:tcPr>
          <w:p w:rsidR="00676448" w:rsidRPr="008B4B4C" w:rsidRDefault="00676448" w:rsidP="00987337">
            <w:pPr>
              <w:jc w:val="center"/>
            </w:pPr>
            <w:r w:rsidRPr="008B4B4C">
              <w:rPr>
                <w:sz w:val="22"/>
                <w:szCs w:val="22"/>
              </w:rPr>
              <w:t xml:space="preserve">635 </w:t>
            </w:r>
          </w:p>
        </w:tc>
        <w:tc>
          <w:tcPr>
            <w:tcW w:w="916" w:type="pct"/>
          </w:tcPr>
          <w:p w:rsidR="00676448" w:rsidRPr="008B4B4C" w:rsidRDefault="00676448" w:rsidP="00987337">
            <w:pPr>
              <w:jc w:val="center"/>
            </w:pPr>
            <w:r w:rsidRPr="008B4B4C">
              <w:rPr>
                <w:sz w:val="22"/>
                <w:szCs w:val="22"/>
              </w:rPr>
              <w:t>7.32 (4.91 to 10.89)</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635</w:t>
            </w:r>
          </w:p>
        </w:tc>
        <w:tc>
          <w:tcPr>
            <w:tcW w:w="749" w:type="pct"/>
            <w:tcBorders>
              <w:right w:val="single" w:sz="4" w:space="0" w:color="auto"/>
            </w:tcBorders>
          </w:tcPr>
          <w:p w:rsidR="00676448" w:rsidRPr="008B4B4C" w:rsidRDefault="00676448" w:rsidP="00987337">
            <w:pPr>
              <w:jc w:val="center"/>
            </w:pPr>
            <w:r w:rsidRPr="008B4B4C">
              <w:rPr>
                <w:sz w:val="22"/>
                <w:szCs w:val="22"/>
              </w:rPr>
              <w:t>2.16 (1.60 to 2.91)</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Surgically menopausal</w:t>
            </w:r>
          </w:p>
        </w:tc>
        <w:tc>
          <w:tcPr>
            <w:tcW w:w="274" w:type="pct"/>
          </w:tcPr>
          <w:p w:rsidR="00676448" w:rsidRPr="008B4B4C" w:rsidRDefault="00676448" w:rsidP="00987337">
            <w:pPr>
              <w:jc w:val="center"/>
            </w:pPr>
            <w:r w:rsidRPr="008B4B4C">
              <w:rPr>
                <w:sz w:val="22"/>
                <w:szCs w:val="22"/>
              </w:rPr>
              <w:t xml:space="preserve">376 </w:t>
            </w:r>
          </w:p>
        </w:tc>
        <w:tc>
          <w:tcPr>
            <w:tcW w:w="916" w:type="pct"/>
          </w:tcPr>
          <w:p w:rsidR="00676448" w:rsidRPr="008B4B4C" w:rsidRDefault="00676448" w:rsidP="00987337">
            <w:pPr>
              <w:jc w:val="center"/>
            </w:pPr>
            <w:r w:rsidRPr="008B4B4C">
              <w:rPr>
                <w:sz w:val="22"/>
                <w:szCs w:val="22"/>
              </w:rPr>
              <w:t>4.87 (3.23 to 7.34)</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376</w:t>
            </w:r>
          </w:p>
        </w:tc>
        <w:tc>
          <w:tcPr>
            <w:tcW w:w="749" w:type="pct"/>
            <w:tcBorders>
              <w:right w:val="single" w:sz="4" w:space="0" w:color="auto"/>
            </w:tcBorders>
          </w:tcPr>
          <w:p w:rsidR="00676448" w:rsidRPr="008B4B4C" w:rsidRDefault="00676448" w:rsidP="00987337">
            <w:pPr>
              <w:jc w:val="center"/>
            </w:pPr>
            <w:r w:rsidRPr="008B4B4C">
              <w:rPr>
                <w:sz w:val="22"/>
                <w:szCs w:val="22"/>
              </w:rPr>
              <w:t>1.72 (1.22 to 2.41)</w:t>
            </w:r>
          </w:p>
        </w:tc>
      </w:tr>
      <w:tr w:rsidR="00676448" w:rsidRPr="008B4B4C">
        <w:tc>
          <w:tcPr>
            <w:tcW w:w="1429" w:type="pct"/>
            <w:tcBorders>
              <w:left w:val="single" w:sz="4" w:space="0" w:color="auto"/>
            </w:tcBorders>
          </w:tcPr>
          <w:p w:rsidR="00676448" w:rsidRPr="008B4B4C" w:rsidRDefault="00676448" w:rsidP="00987337">
            <w:pPr>
              <w:rPr>
                <w:b/>
                <w:bCs/>
              </w:rPr>
            </w:pP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Educational attainment</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No education/ O levels</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952</w:t>
            </w:r>
          </w:p>
        </w:tc>
        <w:tc>
          <w:tcPr>
            <w:tcW w:w="916" w:type="pct"/>
          </w:tcPr>
          <w:p w:rsidR="00676448" w:rsidRPr="008B4B4C" w:rsidRDefault="00676448" w:rsidP="00987337">
            <w:pPr>
              <w:jc w:val="center"/>
            </w:pPr>
            <w:r w:rsidRPr="008B4B4C">
              <w:rPr>
                <w:sz w:val="22"/>
                <w:szCs w:val="22"/>
              </w:rPr>
              <w:t>1.00</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952</w:t>
            </w:r>
          </w:p>
        </w:tc>
        <w:tc>
          <w:tcPr>
            <w:tcW w:w="749" w:type="pct"/>
            <w:tcBorders>
              <w:right w:val="single" w:sz="4" w:space="0" w:color="auto"/>
            </w:tcBorders>
          </w:tcPr>
          <w:p w:rsidR="00676448" w:rsidRPr="008B4B4C" w:rsidRDefault="00676448" w:rsidP="00987337">
            <w:pPr>
              <w:jc w:val="center"/>
            </w:pPr>
            <w:r w:rsidRPr="008B4B4C">
              <w:rPr>
                <w:sz w:val="22"/>
                <w:szCs w:val="22"/>
              </w:rPr>
              <w:t>1.00</w:t>
            </w:r>
          </w:p>
        </w:tc>
      </w:tr>
      <w:tr w:rsidR="00676448" w:rsidRPr="008B4B4C">
        <w:tc>
          <w:tcPr>
            <w:tcW w:w="1429" w:type="pct"/>
            <w:tcBorders>
              <w:left w:val="single" w:sz="4" w:space="0" w:color="auto"/>
            </w:tcBorders>
          </w:tcPr>
          <w:p w:rsidR="00676448" w:rsidRPr="008B4B4C" w:rsidRDefault="00676448" w:rsidP="00987337">
            <w:proofErr w:type="spellStart"/>
            <w:r w:rsidRPr="008B4B4C">
              <w:rPr>
                <w:sz w:val="22"/>
                <w:szCs w:val="22"/>
              </w:rPr>
              <w:t>Highers</w:t>
            </w:r>
            <w:proofErr w:type="spellEnd"/>
            <w:r w:rsidRPr="008B4B4C">
              <w:rPr>
                <w:sz w:val="22"/>
                <w:szCs w:val="22"/>
              </w:rPr>
              <w:t>/ college qualification</w:t>
            </w:r>
          </w:p>
        </w:tc>
        <w:tc>
          <w:tcPr>
            <w:tcW w:w="274" w:type="pct"/>
          </w:tcPr>
          <w:p w:rsidR="00676448" w:rsidRPr="008B4B4C" w:rsidRDefault="00676448" w:rsidP="00987337">
            <w:pPr>
              <w:jc w:val="center"/>
            </w:pPr>
            <w:r w:rsidRPr="008B4B4C">
              <w:rPr>
                <w:sz w:val="22"/>
                <w:szCs w:val="22"/>
              </w:rPr>
              <w:t xml:space="preserve">631 </w:t>
            </w:r>
          </w:p>
        </w:tc>
        <w:tc>
          <w:tcPr>
            <w:tcW w:w="916" w:type="pct"/>
          </w:tcPr>
          <w:p w:rsidR="00676448" w:rsidRPr="008B4B4C" w:rsidRDefault="00676448" w:rsidP="00987337">
            <w:pPr>
              <w:jc w:val="center"/>
            </w:pPr>
            <w:r w:rsidRPr="008B4B4C">
              <w:rPr>
                <w:sz w:val="22"/>
                <w:szCs w:val="22"/>
              </w:rPr>
              <w:t>0.83 (0.64 to 1.10)</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631</w:t>
            </w:r>
          </w:p>
        </w:tc>
        <w:tc>
          <w:tcPr>
            <w:tcW w:w="749" w:type="pct"/>
            <w:tcBorders>
              <w:right w:val="single" w:sz="4" w:space="0" w:color="auto"/>
            </w:tcBorders>
          </w:tcPr>
          <w:p w:rsidR="00676448" w:rsidRPr="008B4B4C" w:rsidRDefault="00676448" w:rsidP="00987337">
            <w:pPr>
              <w:jc w:val="center"/>
            </w:pPr>
            <w:r w:rsidRPr="008B4B4C">
              <w:rPr>
                <w:sz w:val="22"/>
                <w:szCs w:val="22"/>
              </w:rPr>
              <w:t>1.38 (1.06 to 1.78)</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Degree/ postgraduate qualification</w:t>
            </w:r>
          </w:p>
        </w:tc>
        <w:tc>
          <w:tcPr>
            <w:tcW w:w="274" w:type="pct"/>
          </w:tcPr>
          <w:p w:rsidR="00676448" w:rsidRPr="008B4B4C" w:rsidRDefault="00676448" w:rsidP="00987337">
            <w:pPr>
              <w:jc w:val="center"/>
            </w:pPr>
            <w:r w:rsidRPr="008B4B4C">
              <w:rPr>
                <w:sz w:val="22"/>
                <w:szCs w:val="22"/>
              </w:rPr>
              <w:t xml:space="preserve">1137 </w:t>
            </w:r>
          </w:p>
        </w:tc>
        <w:tc>
          <w:tcPr>
            <w:tcW w:w="916" w:type="pct"/>
          </w:tcPr>
          <w:p w:rsidR="00676448" w:rsidRPr="008B4B4C" w:rsidRDefault="00676448" w:rsidP="00987337">
            <w:pPr>
              <w:jc w:val="center"/>
            </w:pPr>
            <w:r w:rsidRPr="008B4B4C">
              <w:rPr>
                <w:sz w:val="22"/>
                <w:szCs w:val="22"/>
              </w:rPr>
              <w:t>0.63 (0.49 to 0.82)</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1137</w:t>
            </w:r>
          </w:p>
        </w:tc>
        <w:tc>
          <w:tcPr>
            <w:tcW w:w="749" w:type="pct"/>
            <w:tcBorders>
              <w:right w:val="single" w:sz="4" w:space="0" w:color="auto"/>
            </w:tcBorders>
          </w:tcPr>
          <w:p w:rsidR="00676448" w:rsidRPr="008B4B4C" w:rsidRDefault="00676448" w:rsidP="00987337">
            <w:pPr>
              <w:jc w:val="center"/>
            </w:pPr>
            <w:r w:rsidRPr="008B4B4C">
              <w:rPr>
                <w:sz w:val="22"/>
                <w:szCs w:val="22"/>
              </w:rPr>
              <w:t>1.28 (1.02 to 1.60)</w:t>
            </w:r>
          </w:p>
        </w:tc>
      </w:tr>
      <w:tr w:rsidR="00676448" w:rsidRPr="008B4B4C">
        <w:tc>
          <w:tcPr>
            <w:tcW w:w="1429" w:type="pct"/>
            <w:tcBorders>
              <w:left w:val="single" w:sz="4" w:space="0" w:color="auto"/>
            </w:tcBorders>
          </w:tcPr>
          <w:p w:rsidR="00676448" w:rsidRPr="008B4B4C" w:rsidRDefault="00676448" w:rsidP="00987337">
            <w:pPr>
              <w:rPr>
                <w:b/>
                <w:bCs/>
              </w:rPr>
            </w:pP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3665A1" w:rsidRDefault="00676448" w:rsidP="00987337">
            <w:pPr>
              <w:rPr>
                <w:b/>
                <w:bCs/>
                <w:vertAlign w:val="superscript"/>
              </w:rPr>
            </w:pPr>
            <w:r w:rsidRPr="008B4B4C">
              <w:rPr>
                <w:b/>
                <w:bCs/>
                <w:sz w:val="22"/>
                <w:szCs w:val="22"/>
              </w:rPr>
              <w:t>Body Mass Index (BMI)</w:t>
            </w:r>
            <w:r>
              <w:rPr>
                <w:b/>
                <w:bCs/>
                <w:sz w:val="22"/>
                <w:szCs w:val="22"/>
              </w:rPr>
              <w:t>, kg/m</w:t>
            </w:r>
            <w:r>
              <w:rPr>
                <w:b/>
                <w:bCs/>
                <w:sz w:val="22"/>
                <w:szCs w:val="22"/>
                <w:vertAlign w:val="superscript"/>
              </w:rPr>
              <w:t>2</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7F1291" w:rsidRDefault="00676448" w:rsidP="00987337">
            <w:r w:rsidRPr="008B4B4C">
              <w:rPr>
                <w:sz w:val="22"/>
                <w:szCs w:val="22"/>
              </w:rPr>
              <w:t>&lt;25</w:t>
            </w:r>
            <w:r w:rsidRPr="008E0FFA">
              <w:rPr>
                <w:sz w:val="18"/>
                <w:szCs w:val="18"/>
                <w:vertAlign w:val="superscript"/>
              </w:rPr>
              <w:t>2</w:t>
            </w:r>
            <w:r>
              <w:rPr>
                <w:sz w:val="18"/>
                <w:szCs w:val="18"/>
              </w:rPr>
              <w:t xml:space="preserve"> </w:t>
            </w:r>
            <w:r w:rsidRPr="003665A1">
              <w:rPr>
                <w:sz w:val="22"/>
                <w:szCs w:val="22"/>
              </w:rPr>
              <w:t>(Underweight &amp; normal weight)</w:t>
            </w:r>
          </w:p>
        </w:tc>
        <w:tc>
          <w:tcPr>
            <w:tcW w:w="274" w:type="pct"/>
          </w:tcPr>
          <w:p w:rsidR="00676448" w:rsidRPr="008B4B4C" w:rsidRDefault="00676448" w:rsidP="00987337">
            <w:pPr>
              <w:jc w:val="center"/>
            </w:pPr>
            <w:r w:rsidRPr="008B4B4C">
              <w:rPr>
                <w:sz w:val="22"/>
                <w:szCs w:val="22"/>
              </w:rPr>
              <w:t xml:space="preserve">1216 </w:t>
            </w:r>
          </w:p>
        </w:tc>
        <w:tc>
          <w:tcPr>
            <w:tcW w:w="916" w:type="pct"/>
          </w:tcPr>
          <w:p w:rsidR="00676448" w:rsidRPr="008B4B4C" w:rsidRDefault="00676448" w:rsidP="00987337">
            <w:pPr>
              <w:jc w:val="center"/>
            </w:pPr>
            <w:r w:rsidRPr="008B4B4C">
              <w:rPr>
                <w:sz w:val="22"/>
                <w:szCs w:val="22"/>
              </w:rPr>
              <w:t>1.00</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1216</w:t>
            </w:r>
          </w:p>
        </w:tc>
        <w:tc>
          <w:tcPr>
            <w:tcW w:w="815" w:type="pct"/>
          </w:tcPr>
          <w:p w:rsidR="00676448" w:rsidRPr="008B4B4C" w:rsidRDefault="00676448" w:rsidP="00987337">
            <w:pPr>
              <w:jc w:val="center"/>
            </w:pPr>
            <w:r w:rsidRPr="008B4B4C">
              <w:rPr>
                <w:sz w:val="22"/>
                <w:szCs w:val="22"/>
              </w:rPr>
              <w:t>1.00</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25 to 30</w:t>
            </w:r>
            <w:r>
              <w:rPr>
                <w:sz w:val="22"/>
                <w:szCs w:val="22"/>
              </w:rPr>
              <w:t xml:space="preserve"> (Overweight)</w:t>
            </w:r>
          </w:p>
        </w:tc>
        <w:tc>
          <w:tcPr>
            <w:tcW w:w="274" w:type="pct"/>
          </w:tcPr>
          <w:p w:rsidR="00676448" w:rsidRPr="008B4B4C" w:rsidRDefault="00676448" w:rsidP="00987337">
            <w:pPr>
              <w:jc w:val="center"/>
            </w:pPr>
            <w:r w:rsidRPr="008B4B4C">
              <w:rPr>
                <w:sz w:val="22"/>
                <w:szCs w:val="22"/>
              </w:rPr>
              <w:t>870</w:t>
            </w:r>
          </w:p>
        </w:tc>
        <w:tc>
          <w:tcPr>
            <w:tcW w:w="916" w:type="pct"/>
          </w:tcPr>
          <w:p w:rsidR="00676448" w:rsidRPr="008B4B4C" w:rsidRDefault="00676448" w:rsidP="00987337">
            <w:pPr>
              <w:jc w:val="center"/>
            </w:pPr>
            <w:r w:rsidRPr="008B4B4C">
              <w:rPr>
                <w:sz w:val="22"/>
                <w:szCs w:val="22"/>
              </w:rPr>
              <w:t>1.19 (0.92 to 1.54)</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 xml:space="preserve">870 </w:t>
            </w:r>
          </w:p>
        </w:tc>
        <w:tc>
          <w:tcPr>
            <w:tcW w:w="815" w:type="pct"/>
          </w:tcPr>
          <w:p w:rsidR="00676448" w:rsidRPr="008B4B4C" w:rsidRDefault="00676448" w:rsidP="00987337">
            <w:pPr>
              <w:jc w:val="center"/>
            </w:pPr>
            <w:r w:rsidRPr="008B4B4C">
              <w:rPr>
                <w:sz w:val="22"/>
                <w:szCs w:val="22"/>
              </w:rPr>
              <w:t>0.88 (0.69 to 1.11)</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&gt;30</w:t>
            </w:r>
            <w:r>
              <w:rPr>
                <w:sz w:val="22"/>
                <w:szCs w:val="22"/>
              </w:rPr>
              <w:t xml:space="preserve"> (Obese)</w:t>
            </w:r>
          </w:p>
        </w:tc>
        <w:tc>
          <w:tcPr>
            <w:tcW w:w="274" w:type="pct"/>
          </w:tcPr>
          <w:p w:rsidR="00676448" w:rsidRPr="008B4B4C" w:rsidRDefault="00676448" w:rsidP="00987337">
            <w:pPr>
              <w:jc w:val="center"/>
            </w:pPr>
            <w:r w:rsidRPr="008B4B4C">
              <w:rPr>
                <w:sz w:val="22"/>
                <w:szCs w:val="22"/>
              </w:rPr>
              <w:t xml:space="preserve">634 </w:t>
            </w:r>
          </w:p>
        </w:tc>
        <w:tc>
          <w:tcPr>
            <w:tcW w:w="916" w:type="pct"/>
          </w:tcPr>
          <w:p w:rsidR="00676448" w:rsidRPr="008B4B4C" w:rsidRDefault="00676448" w:rsidP="00987337">
            <w:pPr>
              <w:jc w:val="center"/>
            </w:pPr>
            <w:r w:rsidRPr="008B4B4C">
              <w:rPr>
                <w:sz w:val="22"/>
                <w:szCs w:val="22"/>
              </w:rPr>
              <w:t>1.45 (1.09 to 1.92)</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634</w:t>
            </w:r>
          </w:p>
        </w:tc>
        <w:tc>
          <w:tcPr>
            <w:tcW w:w="815" w:type="pct"/>
          </w:tcPr>
          <w:p w:rsidR="00676448" w:rsidRPr="008B4B4C" w:rsidRDefault="00676448" w:rsidP="00987337">
            <w:pPr>
              <w:jc w:val="center"/>
            </w:pPr>
            <w:r w:rsidRPr="008B4B4C">
              <w:rPr>
                <w:sz w:val="22"/>
                <w:szCs w:val="22"/>
              </w:rPr>
              <w:t>0.64 (0.49 to 0.84)</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pPr>
              <w:rPr>
                <w:b/>
                <w:bCs/>
              </w:rPr>
            </w:pP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Smoking status</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Never</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 xml:space="preserve">1583 </w:t>
            </w:r>
          </w:p>
        </w:tc>
        <w:tc>
          <w:tcPr>
            <w:tcW w:w="815" w:type="pct"/>
          </w:tcPr>
          <w:p w:rsidR="00676448" w:rsidRPr="008B4B4C" w:rsidRDefault="00676448" w:rsidP="00987337">
            <w:pPr>
              <w:jc w:val="center"/>
            </w:pPr>
            <w:r w:rsidRPr="008B4B4C">
              <w:rPr>
                <w:sz w:val="22"/>
                <w:szCs w:val="22"/>
              </w:rPr>
              <w:t>1.00</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Current</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 xml:space="preserve">492 </w:t>
            </w:r>
          </w:p>
        </w:tc>
        <w:tc>
          <w:tcPr>
            <w:tcW w:w="815" w:type="pct"/>
          </w:tcPr>
          <w:p w:rsidR="00676448" w:rsidRPr="008B4B4C" w:rsidRDefault="00676448" w:rsidP="00987337">
            <w:pPr>
              <w:jc w:val="center"/>
            </w:pPr>
            <w:r w:rsidRPr="008B4B4C">
              <w:rPr>
                <w:sz w:val="22"/>
                <w:szCs w:val="22"/>
              </w:rPr>
              <w:t>1.49 (1.13 to 1.97)</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Ex</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 xml:space="preserve">645 </w:t>
            </w:r>
          </w:p>
        </w:tc>
        <w:tc>
          <w:tcPr>
            <w:tcW w:w="815" w:type="pct"/>
          </w:tcPr>
          <w:p w:rsidR="00676448" w:rsidRPr="008B4B4C" w:rsidRDefault="00676448" w:rsidP="00987337">
            <w:pPr>
              <w:jc w:val="center"/>
            </w:pPr>
            <w:r w:rsidRPr="008B4B4C">
              <w:rPr>
                <w:sz w:val="22"/>
                <w:szCs w:val="22"/>
              </w:rPr>
              <w:t>0.91 (0.71 to 1.67)</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Depression</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Absence</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 xml:space="preserve">2007 </w:t>
            </w:r>
          </w:p>
        </w:tc>
        <w:tc>
          <w:tcPr>
            <w:tcW w:w="815" w:type="pct"/>
          </w:tcPr>
          <w:p w:rsidR="00676448" w:rsidRPr="008B4B4C" w:rsidRDefault="00676448" w:rsidP="00987337">
            <w:pPr>
              <w:jc w:val="center"/>
            </w:pPr>
            <w:r w:rsidRPr="008B4B4C">
              <w:rPr>
                <w:sz w:val="22"/>
                <w:szCs w:val="22"/>
              </w:rPr>
              <w:t>1.00</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Possible presence</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 xml:space="preserve">713 </w:t>
            </w:r>
          </w:p>
        </w:tc>
        <w:tc>
          <w:tcPr>
            <w:tcW w:w="815" w:type="pct"/>
          </w:tcPr>
          <w:p w:rsidR="00676448" w:rsidRPr="008B4B4C" w:rsidRDefault="00676448" w:rsidP="00987337">
            <w:pPr>
              <w:jc w:val="center"/>
            </w:pPr>
            <w:r w:rsidRPr="008B4B4C">
              <w:rPr>
                <w:sz w:val="22"/>
                <w:szCs w:val="22"/>
              </w:rPr>
              <w:t>1.31 (1.03 to 1.67)</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Physical health summary score</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Above the median</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1405</w:t>
            </w:r>
          </w:p>
        </w:tc>
        <w:tc>
          <w:tcPr>
            <w:tcW w:w="749" w:type="pct"/>
            <w:tcBorders>
              <w:right w:val="single" w:sz="4" w:space="0" w:color="auto"/>
            </w:tcBorders>
          </w:tcPr>
          <w:p w:rsidR="00676448" w:rsidRPr="008B4B4C" w:rsidRDefault="00676448" w:rsidP="00987337">
            <w:pPr>
              <w:jc w:val="center"/>
            </w:pPr>
            <w:r w:rsidRPr="008B4B4C">
              <w:rPr>
                <w:sz w:val="22"/>
                <w:szCs w:val="22"/>
              </w:rPr>
              <w:t>1.00</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Below the median</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1315</w:t>
            </w:r>
          </w:p>
        </w:tc>
        <w:tc>
          <w:tcPr>
            <w:tcW w:w="749" w:type="pct"/>
            <w:tcBorders>
              <w:right w:val="single" w:sz="4" w:space="0" w:color="auto"/>
            </w:tcBorders>
          </w:tcPr>
          <w:p w:rsidR="00676448" w:rsidRPr="008B4B4C" w:rsidRDefault="00676448" w:rsidP="00987337">
            <w:pPr>
              <w:jc w:val="center"/>
            </w:pPr>
            <w:r w:rsidRPr="008B4B4C">
              <w:rPr>
                <w:sz w:val="22"/>
                <w:szCs w:val="22"/>
              </w:rPr>
              <w:t>1.31 (1.03 to 1.65)</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Perceived level of social support from friends</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Low</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 xml:space="preserve">495 </w:t>
            </w:r>
          </w:p>
        </w:tc>
        <w:tc>
          <w:tcPr>
            <w:tcW w:w="916" w:type="pct"/>
          </w:tcPr>
          <w:p w:rsidR="00676448" w:rsidRPr="008B4B4C" w:rsidRDefault="00676448" w:rsidP="00987337">
            <w:pPr>
              <w:jc w:val="center"/>
            </w:pPr>
            <w:r w:rsidRPr="008B4B4C">
              <w:rPr>
                <w:sz w:val="22"/>
                <w:szCs w:val="22"/>
              </w:rPr>
              <w:t>1.00</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Moderate</w:t>
            </w:r>
          </w:p>
        </w:tc>
        <w:tc>
          <w:tcPr>
            <w:tcW w:w="274" w:type="pct"/>
          </w:tcPr>
          <w:p w:rsidR="00676448" w:rsidRPr="008B4B4C" w:rsidRDefault="00676448" w:rsidP="00987337">
            <w:pPr>
              <w:jc w:val="center"/>
            </w:pPr>
            <w:r w:rsidRPr="008B4B4C">
              <w:rPr>
                <w:sz w:val="22"/>
                <w:szCs w:val="22"/>
              </w:rPr>
              <w:t>727</w:t>
            </w:r>
          </w:p>
        </w:tc>
        <w:tc>
          <w:tcPr>
            <w:tcW w:w="916" w:type="pct"/>
          </w:tcPr>
          <w:p w:rsidR="00676448" w:rsidRPr="008B4B4C" w:rsidRDefault="00676448" w:rsidP="00987337">
            <w:pPr>
              <w:jc w:val="center"/>
            </w:pPr>
            <w:r w:rsidRPr="008B4B4C">
              <w:rPr>
                <w:sz w:val="22"/>
                <w:szCs w:val="22"/>
              </w:rPr>
              <w:t>0.68 (0.49 to 0.94)</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High</w:t>
            </w:r>
          </w:p>
        </w:tc>
        <w:tc>
          <w:tcPr>
            <w:tcW w:w="274" w:type="pct"/>
          </w:tcPr>
          <w:p w:rsidR="00676448" w:rsidRPr="008B4B4C" w:rsidRDefault="00676448" w:rsidP="00987337">
            <w:pPr>
              <w:jc w:val="center"/>
            </w:pPr>
            <w:r w:rsidRPr="008B4B4C">
              <w:rPr>
                <w:sz w:val="22"/>
                <w:szCs w:val="22"/>
              </w:rPr>
              <w:t xml:space="preserve">1498 </w:t>
            </w:r>
          </w:p>
        </w:tc>
        <w:tc>
          <w:tcPr>
            <w:tcW w:w="916" w:type="pct"/>
          </w:tcPr>
          <w:p w:rsidR="00676448" w:rsidRPr="008B4B4C" w:rsidRDefault="00676448" w:rsidP="00987337">
            <w:pPr>
              <w:jc w:val="center"/>
            </w:pPr>
            <w:r w:rsidRPr="008B4B4C">
              <w:rPr>
                <w:sz w:val="22"/>
                <w:szCs w:val="22"/>
              </w:rPr>
              <w:t>0.93 (0.70 to 1.24)</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b/>
                <w:bCs/>
                <w:sz w:val="22"/>
                <w:szCs w:val="22"/>
              </w:rPr>
              <w:t>Perceived level of social support from significant other</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Low</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488</w:t>
            </w:r>
          </w:p>
        </w:tc>
        <w:tc>
          <w:tcPr>
            <w:tcW w:w="749" w:type="pct"/>
            <w:tcBorders>
              <w:right w:val="single" w:sz="4" w:space="0" w:color="auto"/>
            </w:tcBorders>
          </w:tcPr>
          <w:p w:rsidR="00676448" w:rsidRPr="008B4B4C" w:rsidRDefault="00676448" w:rsidP="00987337">
            <w:pPr>
              <w:jc w:val="center"/>
            </w:pPr>
            <w:r w:rsidRPr="008B4B4C">
              <w:rPr>
                <w:sz w:val="22"/>
                <w:szCs w:val="22"/>
              </w:rPr>
              <w:t>1.00</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Moderate</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403</w:t>
            </w:r>
          </w:p>
        </w:tc>
        <w:tc>
          <w:tcPr>
            <w:tcW w:w="749" w:type="pct"/>
            <w:tcBorders>
              <w:right w:val="single" w:sz="4" w:space="0" w:color="auto"/>
            </w:tcBorders>
          </w:tcPr>
          <w:p w:rsidR="00676448" w:rsidRPr="008B4B4C" w:rsidRDefault="00676448" w:rsidP="00987337">
            <w:pPr>
              <w:jc w:val="center"/>
            </w:pPr>
            <w:r w:rsidRPr="008B4B4C">
              <w:rPr>
                <w:sz w:val="22"/>
                <w:szCs w:val="22"/>
              </w:rPr>
              <w:t>1.78 (1.25 to 2.56)</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High</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1829</w:t>
            </w:r>
          </w:p>
        </w:tc>
        <w:tc>
          <w:tcPr>
            <w:tcW w:w="749" w:type="pct"/>
            <w:tcBorders>
              <w:right w:val="single" w:sz="4" w:space="0" w:color="auto"/>
            </w:tcBorders>
          </w:tcPr>
          <w:p w:rsidR="00676448" w:rsidRPr="008B4B4C" w:rsidRDefault="00676448" w:rsidP="00987337">
            <w:pPr>
              <w:jc w:val="center"/>
            </w:pPr>
            <w:r w:rsidRPr="008B4B4C">
              <w:rPr>
                <w:sz w:val="22"/>
                <w:szCs w:val="22"/>
              </w:rPr>
              <w:t>1.58 (1.17 to 2.14)</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Reporting somatic symptoms</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0 symptoms</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724</w:t>
            </w:r>
          </w:p>
        </w:tc>
        <w:tc>
          <w:tcPr>
            <w:tcW w:w="749" w:type="pct"/>
            <w:tcBorders>
              <w:right w:val="single" w:sz="4" w:space="0" w:color="auto"/>
            </w:tcBorders>
          </w:tcPr>
          <w:p w:rsidR="00676448" w:rsidRPr="008B4B4C" w:rsidRDefault="00676448" w:rsidP="00987337">
            <w:pPr>
              <w:jc w:val="center"/>
            </w:pPr>
            <w:r w:rsidRPr="008B4B4C">
              <w:rPr>
                <w:sz w:val="22"/>
                <w:szCs w:val="22"/>
              </w:rPr>
              <w:t>1.00</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1 symptom</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855</w:t>
            </w:r>
          </w:p>
        </w:tc>
        <w:tc>
          <w:tcPr>
            <w:tcW w:w="749" w:type="pct"/>
            <w:tcBorders>
              <w:right w:val="single" w:sz="4" w:space="0" w:color="auto"/>
            </w:tcBorders>
          </w:tcPr>
          <w:p w:rsidR="00676448" w:rsidRPr="008B4B4C" w:rsidRDefault="00676448" w:rsidP="00987337">
            <w:pPr>
              <w:jc w:val="center"/>
            </w:pPr>
            <w:r w:rsidRPr="008B4B4C">
              <w:rPr>
                <w:sz w:val="22"/>
                <w:szCs w:val="22"/>
              </w:rPr>
              <w:t>1.40 (1.06 to 1.84)</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2 symptoms</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597</w:t>
            </w:r>
          </w:p>
        </w:tc>
        <w:tc>
          <w:tcPr>
            <w:tcW w:w="749" w:type="pct"/>
            <w:tcBorders>
              <w:right w:val="single" w:sz="4" w:space="0" w:color="auto"/>
            </w:tcBorders>
          </w:tcPr>
          <w:p w:rsidR="00676448" w:rsidRPr="008B4B4C" w:rsidRDefault="00676448" w:rsidP="00987337">
            <w:pPr>
              <w:jc w:val="center"/>
            </w:pPr>
            <w:r w:rsidRPr="008B4B4C">
              <w:rPr>
                <w:sz w:val="22"/>
                <w:szCs w:val="22"/>
              </w:rPr>
              <w:t>1.36 (1.01 to 1.84)</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3 symptoms</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333</w:t>
            </w:r>
          </w:p>
        </w:tc>
        <w:tc>
          <w:tcPr>
            <w:tcW w:w="749" w:type="pct"/>
            <w:tcBorders>
              <w:right w:val="single" w:sz="4" w:space="0" w:color="auto"/>
            </w:tcBorders>
          </w:tcPr>
          <w:p w:rsidR="00676448" w:rsidRPr="008B4B4C" w:rsidRDefault="00676448" w:rsidP="00987337">
            <w:pPr>
              <w:jc w:val="center"/>
            </w:pPr>
            <w:r w:rsidRPr="008B4B4C">
              <w:rPr>
                <w:sz w:val="22"/>
                <w:szCs w:val="22"/>
              </w:rPr>
              <w:t>1.09 (0.77 to 1.55)</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4 symptoms</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147</w:t>
            </w:r>
          </w:p>
        </w:tc>
        <w:tc>
          <w:tcPr>
            <w:tcW w:w="749" w:type="pct"/>
            <w:tcBorders>
              <w:right w:val="single" w:sz="4" w:space="0" w:color="auto"/>
            </w:tcBorders>
          </w:tcPr>
          <w:p w:rsidR="00676448" w:rsidRPr="008B4B4C" w:rsidRDefault="00676448" w:rsidP="00987337">
            <w:pPr>
              <w:jc w:val="center"/>
            </w:pPr>
            <w:r w:rsidRPr="008B4B4C">
              <w:rPr>
                <w:sz w:val="22"/>
                <w:szCs w:val="22"/>
              </w:rPr>
              <w:t>1.82 (1.17 to 2.84)</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5 symptoms</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64</w:t>
            </w:r>
          </w:p>
        </w:tc>
        <w:tc>
          <w:tcPr>
            <w:tcW w:w="749" w:type="pct"/>
            <w:tcBorders>
              <w:right w:val="single" w:sz="4" w:space="0" w:color="auto"/>
            </w:tcBorders>
          </w:tcPr>
          <w:p w:rsidR="00676448" w:rsidRPr="008B4B4C" w:rsidRDefault="00676448" w:rsidP="00987337">
            <w:pPr>
              <w:jc w:val="center"/>
            </w:pPr>
            <w:r w:rsidRPr="008B4B4C">
              <w:rPr>
                <w:sz w:val="22"/>
                <w:szCs w:val="22"/>
              </w:rPr>
              <w:t>2.78 (1.49 to 5.19)</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 xml:space="preserve">Reporting </w:t>
            </w:r>
            <w:proofErr w:type="spellStart"/>
            <w:r w:rsidRPr="008B4B4C">
              <w:rPr>
                <w:b/>
                <w:bCs/>
                <w:sz w:val="22"/>
                <w:szCs w:val="22"/>
              </w:rPr>
              <w:t>musculo</w:t>
            </w:r>
            <w:proofErr w:type="spellEnd"/>
            <w:r w:rsidRPr="008B4B4C">
              <w:rPr>
                <w:b/>
                <w:bCs/>
                <w:sz w:val="22"/>
                <w:szCs w:val="22"/>
              </w:rPr>
              <w:t>-skeletal symptoms</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0 symptoms</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 xml:space="preserve">708 </w:t>
            </w:r>
          </w:p>
        </w:tc>
        <w:tc>
          <w:tcPr>
            <w:tcW w:w="916" w:type="pct"/>
          </w:tcPr>
          <w:p w:rsidR="00676448" w:rsidRPr="008B4B4C" w:rsidRDefault="00676448" w:rsidP="00987337">
            <w:pPr>
              <w:jc w:val="center"/>
            </w:pPr>
            <w:r w:rsidRPr="008B4B4C">
              <w:rPr>
                <w:sz w:val="22"/>
                <w:szCs w:val="22"/>
              </w:rPr>
              <w:t>1.00</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1 symptom</w:t>
            </w:r>
          </w:p>
        </w:tc>
        <w:tc>
          <w:tcPr>
            <w:tcW w:w="274" w:type="pct"/>
          </w:tcPr>
          <w:p w:rsidR="00676448" w:rsidRPr="008B4B4C" w:rsidRDefault="00676448" w:rsidP="00987337">
            <w:pPr>
              <w:jc w:val="center"/>
            </w:pPr>
            <w:r w:rsidRPr="008B4B4C">
              <w:rPr>
                <w:sz w:val="22"/>
                <w:szCs w:val="22"/>
              </w:rPr>
              <w:t xml:space="preserve">692 </w:t>
            </w:r>
          </w:p>
        </w:tc>
        <w:tc>
          <w:tcPr>
            <w:tcW w:w="916" w:type="pct"/>
          </w:tcPr>
          <w:p w:rsidR="00676448" w:rsidRPr="008B4B4C" w:rsidRDefault="00676448" w:rsidP="00987337">
            <w:pPr>
              <w:jc w:val="center"/>
            </w:pPr>
            <w:r w:rsidRPr="008B4B4C">
              <w:rPr>
                <w:sz w:val="22"/>
                <w:szCs w:val="22"/>
              </w:rPr>
              <w:t>1.32 (0.97 to 1.78)</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2 symptoms</w:t>
            </w:r>
          </w:p>
        </w:tc>
        <w:tc>
          <w:tcPr>
            <w:tcW w:w="274" w:type="pct"/>
          </w:tcPr>
          <w:p w:rsidR="00676448" w:rsidRPr="008B4B4C" w:rsidRDefault="00676448" w:rsidP="00987337">
            <w:pPr>
              <w:jc w:val="center"/>
            </w:pPr>
            <w:r w:rsidRPr="008B4B4C">
              <w:rPr>
                <w:sz w:val="22"/>
                <w:szCs w:val="22"/>
              </w:rPr>
              <w:t>1320</w:t>
            </w:r>
          </w:p>
        </w:tc>
        <w:tc>
          <w:tcPr>
            <w:tcW w:w="916" w:type="pct"/>
          </w:tcPr>
          <w:p w:rsidR="00676448" w:rsidRPr="008B4B4C" w:rsidRDefault="00676448" w:rsidP="00987337">
            <w:pPr>
              <w:jc w:val="center"/>
            </w:pPr>
            <w:r w:rsidRPr="008B4B4C">
              <w:rPr>
                <w:sz w:val="22"/>
                <w:szCs w:val="22"/>
              </w:rPr>
              <w:t>1.61 (1.22 to 2.12)</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lastRenderedPageBreak/>
              <w:t>Reporting bloating symptoms</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0 symptoms</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 xml:space="preserve">912 </w:t>
            </w:r>
          </w:p>
        </w:tc>
        <w:tc>
          <w:tcPr>
            <w:tcW w:w="916" w:type="pct"/>
          </w:tcPr>
          <w:p w:rsidR="00676448" w:rsidRPr="008B4B4C" w:rsidRDefault="00676448" w:rsidP="00987337">
            <w:pPr>
              <w:jc w:val="center"/>
            </w:pPr>
            <w:r w:rsidRPr="008B4B4C">
              <w:rPr>
                <w:sz w:val="22"/>
                <w:szCs w:val="22"/>
              </w:rPr>
              <w:t>1.00</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1 symptom</w:t>
            </w:r>
          </w:p>
        </w:tc>
        <w:tc>
          <w:tcPr>
            <w:tcW w:w="274" w:type="pct"/>
          </w:tcPr>
          <w:p w:rsidR="00676448" w:rsidRPr="008B4B4C" w:rsidRDefault="00676448" w:rsidP="00987337">
            <w:pPr>
              <w:jc w:val="center"/>
            </w:pPr>
            <w:r w:rsidRPr="008B4B4C">
              <w:rPr>
                <w:sz w:val="22"/>
                <w:szCs w:val="22"/>
              </w:rPr>
              <w:t xml:space="preserve">999 </w:t>
            </w:r>
          </w:p>
        </w:tc>
        <w:tc>
          <w:tcPr>
            <w:tcW w:w="916" w:type="pct"/>
          </w:tcPr>
          <w:p w:rsidR="00676448" w:rsidRPr="008B4B4C" w:rsidRDefault="00676448" w:rsidP="00987337">
            <w:pPr>
              <w:jc w:val="center"/>
            </w:pPr>
            <w:r w:rsidRPr="008B4B4C">
              <w:rPr>
                <w:sz w:val="22"/>
                <w:szCs w:val="22"/>
              </w:rPr>
              <w:t>0.88 (0.67 to 1.13)</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r w:rsidRPr="008B4B4C">
              <w:rPr>
                <w:sz w:val="22"/>
                <w:szCs w:val="22"/>
              </w:rPr>
              <w:t xml:space="preserve">  </w:t>
            </w: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2 symptom</w:t>
            </w:r>
          </w:p>
        </w:tc>
        <w:tc>
          <w:tcPr>
            <w:tcW w:w="274" w:type="pct"/>
          </w:tcPr>
          <w:p w:rsidR="00676448" w:rsidRPr="008B4B4C" w:rsidRDefault="00676448" w:rsidP="00987337">
            <w:pPr>
              <w:jc w:val="center"/>
            </w:pPr>
            <w:r w:rsidRPr="008B4B4C">
              <w:rPr>
                <w:sz w:val="22"/>
                <w:szCs w:val="22"/>
              </w:rPr>
              <w:t xml:space="preserve">809 </w:t>
            </w:r>
          </w:p>
        </w:tc>
        <w:tc>
          <w:tcPr>
            <w:tcW w:w="916" w:type="pct"/>
          </w:tcPr>
          <w:p w:rsidR="00676448" w:rsidRPr="008B4B4C" w:rsidRDefault="00676448" w:rsidP="00987337">
            <w:pPr>
              <w:jc w:val="center"/>
            </w:pPr>
            <w:r w:rsidRPr="008B4B4C">
              <w:rPr>
                <w:sz w:val="22"/>
                <w:szCs w:val="22"/>
              </w:rPr>
              <w:t>1.36 (1.02 to 1.81)</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Reporting menstrual symptoms</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0 symptoms</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 xml:space="preserve">1552 </w:t>
            </w:r>
          </w:p>
        </w:tc>
        <w:tc>
          <w:tcPr>
            <w:tcW w:w="916" w:type="pct"/>
          </w:tcPr>
          <w:p w:rsidR="00676448" w:rsidRPr="008B4B4C" w:rsidRDefault="00676448" w:rsidP="00987337">
            <w:pPr>
              <w:jc w:val="center"/>
            </w:pPr>
            <w:r w:rsidRPr="008B4B4C">
              <w:rPr>
                <w:sz w:val="22"/>
                <w:szCs w:val="22"/>
              </w:rPr>
              <w:t>1.00</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1 symptom</w:t>
            </w:r>
          </w:p>
        </w:tc>
        <w:tc>
          <w:tcPr>
            <w:tcW w:w="274" w:type="pct"/>
          </w:tcPr>
          <w:p w:rsidR="00676448" w:rsidRPr="008B4B4C" w:rsidRDefault="00676448" w:rsidP="00987337">
            <w:pPr>
              <w:jc w:val="center"/>
            </w:pPr>
            <w:r w:rsidRPr="008B4B4C">
              <w:rPr>
                <w:sz w:val="22"/>
                <w:szCs w:val="22"/>
              </w:rPr>
              <w:t xml:space="preserve">748 </w:t>
            </w:r>
          </w:p>
        </w:tc>
        <w:tc>
          <w:tcPr>
            <w:tcW w:w="916" w:type="pct"/>
          </w:tcPr>
          <w:p w:rsidR="00676448" w:rsidRPr="008B4B4C" w:rsidRDefault="00676448" w:rsidP="00987337">
            <w:pPr>
              <w:jc w:val="center"/>
            </w:pPr>
            <w:r w:rsidRPr="008B4B4C">
              <w:rPr>
                <w:sz w:val="22"/>
                <w:szCs w:val="22"/>
              </w:rPr>
              <w:t>1.41 (0.93 to 2.14)</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2 symptom</w:t>
            </w:r>
          </w:p>
        </w:tc>
        <w:tc>
          <w:tcPr>
            <w:tcW w:w="274" w:type="pct"/>
          </w:tcPr>
          <w:p w:rsidR="00676448" w:rsidRPr="008B4B4C" w:rsidRDefault="00676448" w:rsidP="00987337">
            <w:pPr>
              <w:jc w:val="center"/>
            </w:pPr>
            <w:r w:rsidRPr="008B4B4C">
              <w:rPr>
                <w:sz w:val="22"/>
                <w:szCs w:val="22"/>
              </w:rPr>
              <w:t xml:space="preserve">420 </w:t>
            </w:r>
          </w:p>
        </w:tc>
        <w:tc>
          <w:tcPr>
            <w:tcW w:w="916" w:type="pct"/>
          </w:tcPr>
          <w:p w:rsidR="00676448" w:rsidRPr="008B4B4C" w:rsidRDefault="00676448" w:rsidP="00987337">
            <w:pPr>
              <w:jc w:val="center"/>
            </w:pPr>
            <w:r w:rsidRPr="008B4B4C">
              <w:rPr>
                <w:sz w:val="22"/>
                <w:szCs w:val="22"/>
              </w:rPr>
              <w:t>1.71 (1.20 to 2.43)</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b/>
                <w:bCs/>
                <w:sz w:val="22"/>
                <w:szCs w:val="22"/>
              </w:rPr>
              <w:t>Reporting sexual symptoms</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0 symptoms</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 xml:space="preserve">1385 </w:t>
            </w:r>
          </w:p>
        </w:tc>
        <w:tc>
          <w:tcPr>
            <w:tcW w:w="916" w:type="pct"/>
          </w:tcPr>
          <w:p w:rsidR="00676448" w:rsidRPr="008B4B4C" w:rsidRDefault="00676448" w:rsidP="00987337">
            <w:pPr>
              <w:jc w:val="center"/>
            </w:pPr>
            <w:r w:rsidRPr="008B4B4C">
              <w:rPr>
                <w:sz w:val="22"/>
                <w:szCs w:val="22"/>
              </w:rPr>
              <w:t>1.00</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 xml:space="preserve">1385 </w:t>
            </w:r>
          </w:p>
        </w:tc>
        <w:tc>
          <w:tcPr>
            <w:tcW w:w="815" w:type="pct"/>
          </w:tcPr>
          <w:p w:rsidR="00676448" w:rsidRPr="008B4B4C" w:rsidRDefault="00676448" w:rsidP="00987337">
            <w:pPr>
              <w:jc w:val="center"/>
            </w:pPr>
            <w:r w:rsidRPr="008B4B4C">
              <w:rPr>
                <w:sz w:val="22"/>
                <w:szCs w:val="22"/>
              </w:rPr>
              <w:t>1.00</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1 symptom</w:t>
            </w:r>
          </w:p>
        </w:tc>
        <w:tc>
          <w:tcPr>
            <w:tcW w:w="274" w:type="pct"/>
          </w:tcPr>
          <w:p w:rsidR="00676448" w:rsidRPr="008B4B4C" w:rsidRDefault="00676448" w:rsidP="00987337">
            <w:pPr>
              <w:jc w:val="center"/>
            </w:pPr>
            <w:r w:rsidRPr="008B4B4C">
              <w:rPr>
                <w:sz w:val="22"/>
                <w:szCs w:val="22"/>
              </w:rPr>
              <w:t xml:space="preserve">815 </w:t>
            </w:r>
          </w:p>
        </w:tc>
        <w:tc>
          <w:tcPr>
            <w:tcW w:w="916" w:type="pct"/>
          </w:tcPr>
          <w:p w:rsidR="00676448" w:rsidRPr="008B4B4C" w:rsidRDefault="00676448" w:rsidP="00987337">
            <w:pPr>
              <w:jc w:val="center"/>
            </w:pPr>
            <w:r w:rsidRPr="008B4B4C">
              <w:rPr>
                <w:sz w:val="22"/>
                <w:szCs w:val="22"/>
              </w:rPr>
              <w:t>0.97 (0.76 to 1.25)</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 xml:space="preserve">815 </w:t>
            </w:r>
          </w:p>
        </w:tc>
        <w:tc>
          <w:tcPr>
            <w:tcW w:w="815" w:type="pct"/>
          </w:tcPr>
          <w:p w:rsidR="00676448" w:rsidRPr="008B4B4C" w:rsidRDefault="00676448" w:rsidP="00987337">
            <w:pPr>
              <w:jc w:val="center"/>
            </w:pPr>
            <w:r w:rsidRPr="008B4B4C">
              <w:rPr>
                <w:sz w:val="22"/>
                <w:szCs w:val="22"/>
              </w:rPr>
              <w:t>1.56 (1.23 to 1.97)</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2 symptom</w:t>
            </w:r>
          </w:p>
        </w:tc>
        <w:tc>
          <w:tcPr>
            <w:tcW w:w="274" w:type="pct"/>
          </w:tcPr>
          <w:p w:rsidR="00676448" w:rsidRPr="008B4B4C" w:rsidRDefault="00676448" w:rsidP="00987337">
            <w:pPr>
              <w:jc w:val="center"/>
            </w:pPr>
            <w:r w:rsidRPr="008B4B4C">
              <w:rPr>
                <w:sz w:val="22"/>
                <w:szCs w:val="22"/>
              </w:rPr>
              <w:t xml:space="preserve">520 </w:t>
            </w:r>
          </w:p>
        </w:tc>
        <w:tc>
          <w:tcPr>
            <w:tcW w:w="916" w:type="pct"/>
          </w:tcPr>
          <w:p w:rsidR="00676448" w:rsidRPr="008B4B4C" w:rsidRDefault="00676448" w:rsidP="00987337">
            <w:pPr>
              <w:jc w:val="center"/>
            </w:pPr>
            <w:r w:rsidRPr="008B4B4C">
              <w:rPr>
                <w:sz w:val="22"/>
                <w:szCs w:val="22"/>
              </w:rPr>
              <w:t>1.49 (1.10 to 2.02)</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520</w:t>
            </w:r>
          </w:p>
        </w:tc>
        <w:tc>
          <w:tcPr>
            <w:tcW w:w="815" w:type="pct"/>
          </w:tcPr>
          <w:p w:rsidR="00676448" w:rsidRPr="008B4B4C" w:rsidRDefault="00676448" w:rsidP="00987337">
            <w:pPr>
              <w:jc w:val="center"/>
            </w:pPr>
            <w:r w:rsidRPr="008B4B4C">
              <w:rPr>
                <w:sz w:val="22"/>
                <w:szCs w:val="22"/>
              </w:rPr>
              <w:t>1.49 (1.12 to 1.99)</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b/>
                <w:bCs/>
                <w:sz w:val="22"/>
                <w:szCs w:val="22"/>
              </w:rPr>
              <w:t>Reporting sleep difficulties</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No</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1056</w:t>
            </w:r>
          </w:p>
        </w:tc>
        <w:tc>
          <w:tcPr>
            <w:tcW w:w="815" w:type="pct"/>
          </w:tcPr>
          <w:p w:rsidR="00676448" w:rsidRPr="008B4B4C" w:rsidRDefault="00676448" w:rsidP="00987337">
            <w:pPr>
              <w:jc w:val="center"/>
            </w:pPr>
            <w:r w:rsidRPr="008B4B4C">
              <w:rPr>
                <w:sz w:val="22"/>
                <w:szCs w:val="22"/>
              </w:rPr>
              <w:t>1.00</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Yes</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1664</w:t>
            </w:r>
          </w:p>
        </w:tc>
        <w:tc>
          <w:tcPr>
            <w:tcW w:w="815" w:type="pct"/>
          </w:tcPr>
          <w:p w:rsidR="00676448" w:rsidRPr="008B4B4C" w:rsidRDefault="00676448" w:rsidP="00987337">
            <w:pPr>
              <w:jc w:val="center"/>
            </w:pPr>
            <w:r w:rsidRPr="008B4B4C">
              <w:rPr>
                <w:sz w:val="22"/>
                <w:szCs w:val="22"/>
              </w:rPr>
              <w:t>2.58 (2.08 to 3.20)</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Reporting night sweats</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No</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 xml:space="preserve">1489 </w:t>
            </w:r>
          </w:p>
        </w:tc>
        <w:tc>
          <w:tcPr>
            <w:tcW w:w="916" w:type="pct"/>
          </w:tcPr>
          <w:p w:rsidR="00676448" w:rsidRPr="008B4B4C" w:rsidRDefault="00676448" w:rsidP="00987337">
            <w:pPr>
              <w:jc w:val="center"/>
            </w:pPr>
            <w:r w:rsidRPr="008B4B4C">
              <w:rPr>
                <w:sz w:val="22"/>
                <w:szCs w:val="22"/>
              </w:rPr>
              <w:t>1.00</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pPr>
              <w:rPr>
                <w:sz w:val="20"/>
                <w:szCs w:val="20"/>
              </w:rPr>
            </w:pPr>
            <w:r w:rsidRPr="008B4B4C">
              <w:rPr>
                <w:sz w:val="20"/>
                <w:szCs w:val="20"/>
              </w:rPr>
              <w:t>Yes</w:t>
            </w:r>
          </w:p>
        </w:tc>
        <w:tc>
          <w:tcPr>
            <w:tcW w:w="274" w:type="pct"/>
          </w:tcPr>
          <w:p w:rsidR="00676448" w:rsidRPr="008B4B4C" w:rsidRDefault="00676448" w:rsidP="00987337">
            <w:pPr>
              <w:jc w:val="center"/>
            </w:pPr>
            <w:r w:rsidRPr="008B4B4C">
              <w:rPr>
                <w:sz w:val="22"/>
                <w:szCs w:val="22"/>
              </w:rPr>
              <w:t>1231</w:t>
            </w:r>
          </w:p>
        </w:tc>
        <w:tc>
          <w:tcPr>
            <w:tcW w:w="916" w:type="pct"/>
          </w:tcPr>
          <w:p w:rsidR="00676448" w:rsidRPr="008B4B4C" w:rsidRDefault="00676448" w:rsidP="00987337">
            <w:pPr>
              <w:jc w:val="center"/>
            </w:pPr>
            <w:r w:rsidRPr="008B4B4C">
              <w:rPr>
                <w:sz w:val="22"/>
                <w:szCs w:val="22"/>
              </w:rPr>
              <w:t>12.20 (9.75 to 15.27)</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Reporting hot flushes</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No</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 xml:space="preserve">1487 </w:t>
            </w:r>
          </w:p>
        </w:tc>
        <w:tc>
          <w:tcPr>
            <w:tcW w:w="815" w:type="pct"/>
          </w:tcPr>
          <w:p w:rsidR="00676448" w:rsidRPr="008B4B4C" w:rsidRDefault="00676448" w:rsidP="00987337">
            <w:pPr>
              <w:jc w:val="center"/>
            </w:pPr>
            <w:r w:rsidRPr="008B4B4C">
              <w:rPr>
                <w:sz w:val="22"/>
                <w:szCs w:val="22"/>
              </w:rPr>
              <w:t>1.00</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1487</w:t>
            </w:r>
          </w:p>
        </w:tc>
        <w:tc>
          <w:tcPr>
            <w:tcW w:w="749" w:type="pct"/>
            <w:tcBorders>
              <w:right w:val="single" w:sz="4" w:space="0" w:color="auto"/>
            </w:tcBorders>
          </w:tcPr>
          <w:p w:rsidR="00676448" w:rsidRPr="008B4B4C" w:rsidRDefault="00676448" w:rsidP="00987337">
            <w:pPr>
              <w:jc w:val="center"/>
            </w:pPr>
            <w:r w:rsidRPr="008B4B4C">
              <w:rPr>
                <w:sz w:val="22"/>
                <w:szCs w:val="22"/>
              </w:rPr>
              <w:t>1.00</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Yes</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 xml:space="preserve">1233 </w:t>
            </w:r>
          </w:p>
        </w:tc>
        <w:tc>
          <w:tcPr>
            <w:tcW w:w="815" w:type="pct"/>
          </w:tcPr>
          <w:p w:rsidR="00676448" w:rsidRPr="008B4B4C" w:rsidRDefault="00676448" w:rsidP="00987337">
            <w:pPr>
              <w:jc w:val="center"/>
            </w:pPr>
            <w:r w:rsidRPr="008B4B4C">
              <w:rPr>
                <w:sz w:val="22"/>
                <w:szCs w:val="22"/>
              </w:rPr>
              <w:t>12.13 (9.72 to 15.14)</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1233</w:t>
            </w:r>
          </w:p>
        </w:tc>
        <w:tc>
          <w:tcPr>
            <w:tcW w:w="749" w:type="pct"/>
            <w:tcBorders>
              <w:right w:val="single" w:sz="4" w:space="0" w:color="auto"/>
            </w:tcBorders>
          </w:tcPr>
          <w:p w:rsidR="00676448" w:rsidRPr="008B4B4C" w:rsidRDefault="00676448" w:rsidP="00987337">
            <w:pPr>
              <w:jc w:val="center"/>
            </w:pPr>
            <w:r w:rsidRPr="008B4B4C">
              <w:rPr>
                <w:sz w:val="22"/>
                <w:szCs w:val="22"/>
              </w:rPr>
              <w:t>1.31 (1.05 to 1.64)</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Reporting decreased sexual interest</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No</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1579</w:t>
            </w:r>
          </w:p>
        </w:tc>
        <w:tc>
          <w:tcPr>
            <w:tcW w:w="749" w:type="pct"/>
            <w:tcBorders>
              <w:right w:val="single" w:sz="4" w:space="0" w:color="auto"/>
            </w:tcBorders>
          </w:tcPr>
          <w:p w:rsidR="00676448" w:rsidRPr="008B4B4C" w:rsidRDefault="00676448" w:rsidP="00987337">
            <w:pPr>
              <w:jc w:val="center"/>
            </w:pPr>
            <w:r w:rsidRPr="008B4B4C">
              <w:rPr>
                <w:sz w:val="22"/>
                <w:szCs w:val="22"/>
              </w:rPr>
              <w:t>1.00</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Yes</w:t>
            </w:r>
          </w:p>
        </w:tc>
        <w:tc>
          <w:tcPr>
            <w:tcW w:w="274" w:type="pct"/>
          </w:tcPr>
          <w:p w:rsidR="00676448" w:rsidRPr="008B4B4C" w:rsidRDefault="00676448" w:rsidP="00987337">
            <w:pPr>
              <w:jc w:val="center"/>
            </w:pPr>
            <w:r w:rsidRPr="008B4B4C">
              <w:rPr>
                <w:sz w:val="22"/>
                <w:szCs w:val="22"/>
              </w:rPr>
              <w:t>-</w:t>
            </w:r>
          </w:p>
        </w:tc>
        <w:tc>
          <w:tcPr>
            <w:tcW w:w="916" w:type="pct"/>
          </w:tcPr>
          <w:p w:rsidR="00676448" w:rsidRPr="008B4B4C" w:rsidRDefault="00676448" w:rsidP="00987337">
            <w:pPr>
              <w:jc w:val="center"/>
            </w:pPr>
            <w:r w:rsidRPr="008B4B4C">
              <w:rPr>
                <w:sz w:val="22"/>
                <w:szCs w:val="22"/>
              </w:rPr>
              <w:t>-</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1141</w:t>
            </w:r>
          </w:p>
        </w:tc>
        <w:tc>
          <w:tcPr>
            <w:tcW w:w="749" w:type="pct"/>
            <w:tcBorders>
              <w:right w:val="single" w:sz="4" w:space="0" w:color="auto"/>
            </w:tcBorders>
          </w:tcPr>
          <w:p w:rsidR="00676448" w:rsidRPr="008B4B4C" w:rsidRDefault="00676448" w:rsidP="00987337">
            <w:pPr>
              <w:jc w:val="center"/>
            </w:pPr>
            <w:r w:rsidRPr="008B4B4C">
              <w:rPr>
                <w:sz w:val="22"/>
                <w:szCs w:val="22"/>
              </w:rPr>
              <w:t>4.59 (3.73 to 5.65)</w:t>
            </w:r>
          </w:p>
        </w:tc>
      </w:tr>
    </w:tbl>
    <w:p w:rsidR="00676448" w:rsidRDefault="00676448"/>
    <w:tbl>
      <w:tblPr>
        <w:tblW w:w="4598" w:type="pct"/>
        <w:tblInd w:w="108" w:type="dxa"/>
        <w:tblLayout w:type="fixed"/>
        <w:tblLook w:val="01E0"/>
      </w:tblPr>
      <w:tblGrid>
        <w:gridCol w:w="3726"/>
        <w:gridCol w:w="714"/>
        <w:gridCol w:w="2388"/>
        <w:gridCol w:w="326"/>
        <w:gridCol w:w="688"/>
        <w:gridCol w:w="2125"/>
        <w:gridCol w:w="349"/>
        <w:gridCol w:w="766"/>
        <w:gridCol w:w="1952"/>
      </w:tblGrid>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Use of CAM for managing symptoms attributed to the menopause</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Not currently using</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 xml:space="preserve">2215 </w:t>
            </w:r>
          </w:p>
        </w:tc>
        <w:tc>
          <w:tcPr>
            <w:tcW w:w="916" w:type="pct"/>
          </w:tcPr>
          <w:p w:rsidR="00676448" w:rsidRPr="008B4B4C" w:rsidRDefault="00676448" w:rsidP="00987337">
            <w:pPr>
              <w:jc w:val="center"/>
            </w:pPr>
            <w:r w:rsidRPr="008B4B4C">
              <w:rPr>
                <w:sz w:val="22"/>
                <w:szCs w:val="22"/>
              </w:rPr>
              <w:t>1.00</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Currently using</w:t>
            </w:r>
          </w:p>
        </w:tc>
        <w:tc>
          <w:tcPr>
            <w:tcW w:w="274" w:type="pct"/>
          </w:tcPr>
          <w:p w:rsidR="00676448" w:rsidRPr="008B4B4C" w:rsidRDefault="00676448" w:rsidP="00987337">
            <w:pPr>
              <w:jc w:val="center"/>
            </w:pPr>
            <w:r w:rsidRPr="008B4B4C">
              <w:rPr>
                <w:sz w:val="22"/>
                <w:szCs w:val="22"/>
              </w:rPr>
              <w:t>505</w:t>
            </w:r>
          </w:p>
        </w:tc>
        <w:tc>
          <w:tcPr>
            <w:tcW w:w="916" w:type="pct"/>
          </w:tcPr>
          <w:p w:rsidR="00676448" w:rsidRPr="008B4B4C" w:rsidRDefault="00676448" w:rsidP="00987337">
            <w:pPr>
              <w:jc w:val="center"/>
            </w:pPr>
            <w:r w:rsidRPr="008B4B4C">
              <w:rPr>
                <w:sz w:val="22"/>
                <w:szCs w:val="22"/>
              </w:rPr>
              <w:t>1.53 (1.13 to 2.07)</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w:t>
            </w:r>
          </w:p>
        </w:tc>
        <w:tc>
          <w:tcPr>
            <w:tcW w:w="749" w:type="pct"/>
            <w:tcBorders>
              <w:right w:val="single" w:sz="4" w:space="0" w:color="auto"/>
            </w:tcBorders>
          </w:tcPr>
          <w:p w:rsidR="00676448" w:rsidRPr="008B4B4C" w:rsidRDefault="00676448" w:rsidP="00987337">
            <w:pPr>
              <w:jc w:val="center"/>
            </w:pPr>
            <w:r w:rsidRPr="008B4B4C">
              <w:rPr>
                <w:sz w:val="22"/>
                <w:szCs w:val="22"/>
              </w:rPr>
              <w:t>-</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Use of lifestyle strategies for managing symptoms attributed to the menopause</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Not currently using</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 xml:space="preserve">1608 </w:t>
            </w:r>
          </w:p>
        </w:tc>
        <w:tc>
          <w:tcPr>
            <w:tcW w:w="916" w:type="pct"/>
          </w:tcPr>
          <w:p w:rsidR="00676448" w:rsidRPr="008B4B4C" w:rsidRDefault="00676448" w:rsidP="00987337">
            <w:pPr>
              <w:jc w:val="center"/>
            </w:pPr>
            <w:r w:rsidRPr="008B4B4C">
              <w:rPr>
                <w:sz w:val="22"/>
                <w:szCs w:val="22"/>
              </w:rPr>
              <w:t>1.00</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 xml:space="preserve">1608 </w:t>
            </w:r>
          </w:p>
        </w:tc>
        <w:tc>
          <w:tcPr>
            <w:tcW w:w="815" w:type="pct"/>
          </w:tcPr>
          <w:p w:rsidR="00676448" w:rsidRPr="008B4B4C" w:rsidRDefault="00676448" w:rsidP="00987337">
            <w:pPr>
              <w:jc w:val="center"/>
            </w:pPr>
            <w:r w:rsidRPr="008B4B4C">
              <w:rPr>
                <w:sz w:val="22"/>
                <w:szCs w:val="22"/>
              </w:rPr>
              <w:t>1.00</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1608</w:t>
            </w:r>
          </w:p>
        </w:tc>
        <w:tc>
          <w:tcPr>
            <w:tcW w:w="749" w:type="pct"/>
            <w:tcBorders>
              <w:right w:val="single" w:sz="4" w:space="0" w:color="auto"/>
            </w:tcBorders>
          </w:tcPr>
          <w:p w:rsidR="00676448" w:rsidRPr="008B4B4C" w:rsidRDefault="00676448" w:rsidP="00987337">
            <w:pPr>
              <w:jc w:val="center"/>
            </w:pPr>
            <w:r w:rsidRPr="008B4B4C">
              <w:rPr>
                <w:sz w:val="22"/>
                <w:szCs w:val="22"/>
              </w:rPr>
              <w:t>1.00</w:t>
            </w:r>
          </w:p>
        </w:tc>
      </w:tr>
      <w:tr w:rsidR="00676448" w:rsidRPr="008B4B4C">
        <w:tc>
          <w:tcPr>
            <w:tcW w:w="1429" w:type="pct"/>
            <w:tcBorders>
              <w:left w:val="single" w:sz="4" w:space="0" w:color="auto"/>
            </w:tcBorders>
          </w:tcPr>
          <w:p w:rsidR="00676448" w:rsidRPr="008B4B4C" w:rsidRDefault="00676448" w:rsidP="00987337">
            <w:r w:rsidRPr="008B4B4C">
              <w:rPr>
                <w:sz w:val="22"/>
                <w:szCs w:val="22"/>
              </w:rPr>
              <w:t>Currently using</w:t>
            </w:r>
          </w:p>
        </w:tc>
        <w:tc>
          <w:tcPr>
            <w:tcW w:w="274" w:type="pct"/>
          </w:tcPr>
          <w:p w:rsidR="00676448" w:rsidRPr="008B4B4C" w:rsidRDefault="00676448" w:rsidP="00987337">
            <w:pPr>
              <w:jc w:val="center"/>
            </w:pPr>
            <w:r w:rsidRPr="008B4B4C">
              <w:rPr>
                <w:sz w:val="22"/>
                <w:szCs w:val="22"/>
              </w:rPr>
              <w:t>1112</w:t>
            </w:r>
          </w:p>
        </w:tc>
        <w:tc>
          <w:tcPr>
            <w:tcW w:w="916" w:type="pct"/>
          </w:tcPr>
          <w:p w:rsidR="00676448" w:rsidRPr="008B4B4C" w:rsidRDefault="00676448" w:rsidP="00987337">
            <w:pPr>
              <w:jc w:val="center"/>
            </w:pPr>
            <w:r w:rsidRPr="008B4B4C">
              <w:rPr>
                <w:sz w:val="22"/>
                <w:szCs w:val="22"/>
              </w:rPr>
              <w:t>1.47 (1.13 to 1.92)</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 xml:space="preserve">1112 </w:t>
            </w:r>
          </w:p>
        </w:tc>
        <w:tc>
          <w:tcPr>
            <w:tcW w:w="815" w:type="pct"/>
          </w:tcPr>
          <w:p w:rsidR="00676448" w:rsidRPr="008B4B4C" w:rsidRDefault="00676448" w:rsidP="00987337">
            <w:pPr>
              <w:jc w:val="center"/>
            </w:pPr>
            <w:r w:rsidRPr="008B4B4C">
              <w:rPr>
                <w:sz w:val="22"/>
                <w:szCs w:val="22"/>
              </w:rPr>
              <w:t>3.04 (2.45 to 3.78)</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1112</w:t>
            </w:r>
          </w:p>
        </w:tc>
        <w:tc>
          <w:tcPr>
            <w:tcW w:w="749" w:type="pct"/>
            <w:tcBorders>
              <w:right w:val="single" w:sz="4" w:space="0" w:color="auto"/>
            </w:tcBorders>
          </w:tcPr>
          <w:p w:rsidR="00676448" w:rsidRPr="008B4B4C" w:rsidRDefault="00676448" w:rsidP="00987337">
            <w:pPr>
              <w:jc w:val="center"/>
            </w:pPr>
            <w:r w:rsidRPr="008B4B4C">
              <w:rPr>
                <w:sz w:val="22"/>
                <w:szCs w:val="22"/>
              </w:rPr>
              <w:t>1.71 (1.34 to 2.17)</w:t>
            </w:r>
          </w:p>
        </w:tc>
      </w:tr>
      <w:tr w:rsidR="00676448" w:rsidRPr="008B4B4C">
        <w:tc>
          <w:tcPr>
            <w:tcW w:w="1429" w:type="pct"/>
            <w:tcBorders>
              <w:left w:val="single" w:sz="4" w:space="0" w:color="auto"/>
            </w:tcBorders>
          </w:tcPr>
          <w:p w:rsidR="00676448" w:rsidRPr="008B4B4C" w:rsidRDefault="00676448" w:rsidP="00987337"/>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pPr>
              <w:rPr>
                <w:b/>
                <w:bCs/>
              </w:rPr>
            </w:pPr>
            <w:r w:rsidRPr="008B4B4C">
              <w:rPr>
                <w:b/>
                <w:bCs/>
                <w:sz w:val="22"/>
                <w:szCs w:val="22"/>
              </w:rPr>
              <w:t>Use of psychological strategies for managing symptoms attributed to the menopause</w:t>
            </w:r>
          </w:p>
        </w:tc>
        <w:tc>
          <w:tcPr>
            <w:tcW w:w="274" w:type="pct"/>
          </w:tcPr>
          <w:p w:rsidR="00676448" w:rsidRPr="008B4B4C" w:rsidRDefault="00676448" w:rsidP="00987337">
            <w:pPr>
              <w:jc w:val="center"/>
            </w:pPr>
          </w:p>
        </w:tc>
        <w:tc>
          <w:tcPr>
            <w:tcW w:w="916" w:type="pct"/>
          </w:tcPr>
          <w:p w:rsidR="00676448" w:rsidRPr="008B4B4C" w:rsidRDefault="00676448" w:rsidP="00987337">
            <w:pPr>
              <w:jc w:val="center"/>
            </w:pP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p>
        </w:tc>
        <w:tc>
          <w:tcPr>
            <w:tcW w:w="815" w:type="pct"/>
          </w:tcPr>
          <w:p w:rsidR="00676448" w:rsidRPr="008B4B4C" w:rsidRDefault="00676448" w:rsidP="00987337">
            <w:pPr>
              <w:jc w:val="center"/>
            </w:pP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p>
        </w:tc>
        <w:tc>
          <w:tcPr>
            <w:tcW w:w="749" w:type="pct"/>
            <w:tcBorders>
              <w:right w:val="single" w:sz="4" w:space="0" w:color="auto"/>
            </w:tcBorders>
          </w:tcPr>
          <w:p w:rsidR="00676448" w:rsidRPr="008B4B4C" w:rsidRDefault="00676448" w:rsidP="00987337">
            <w:pPr>
              <w:jc w:val="center"/>
            </w:pPr>
          </w:p>
        </w:tc>
      </w:tr>
      <w:tr w:rsidR="00676448" w:rsidRPr="008B4B4C">
        <w:tc>
          <w:tcPr>
            <w:tcW w:w="1429" w:type="pct"/>
            <w:tcBorders>
              <w:left w:val="single" w:sz="4" w:space="0" w:color="auto"/>
            </w:tcBorders>
          </w:tcPr>
          <w:p w:rsidR="00676448" w:rsidRPr="008B4B4C" w:rsidRDefault="00676448" w:rsidP="00987337">
            <w:r w:rsidRPr="008B4B4C">
              <w:rPr>
                <w:sz w:val="22"/>
                <w:szCs w:val="22"/>
              </w:rPr>
              <w:t>Not currently using</w:t>
            </w:r>
            <w:r w:rsidRPr="008E0FFA">
              <w:rPr>
                <w:sz w:val="18"/>
                <w:szCs w:val="18"/>
                <w:vertAlign w:val="superscript"/>
              </w:rPr>
              <w:t>2</w:t>
            </w:r>
          </w:p>
        </w:tc>
        <w:tc>
          <w:tcPr>
            <w:tcW w:w="274" w:type="pct"/>
          </w:tcPr>
          <w:p w:rsidR="00676448" w:rsidRPr="008B4B4C" w:rsidRDefault="00676448" w:rsidP="00987337">
            <w:pPr>
              <w:jc w:val="center"/>
            </w:pPr>
            <w:r w:rsidRPr="008B4B4C">
              <w:rPr>
                <w:sz w:val="22"/>
                <w:szCs w:val="22"/>
              </w:rPr>
              <w:t xml:space="preserve">1760 </w:t>
            </w:r>
          </w:p>
        </w:tc>
        <w:tc>
          <w:tcPr>
            <w:tcW w:w="916" w:type="pct"/>
          </w:tcPr>
          <w:p w:rsidR="00676448" w:rsidRPr="008B4B4C" w:rsidRDefault="00676448" w:rsidP="00987337">
            <w:pPr>
              <w:jc w:val="center"/>
            </w:pPr>
            <w:r w:rsidRPr="008B4B4C">
              <w:rPr>
                <w:sz w:val="22"/>
                <w:szCs w:val="22"/>
              </w:rPr>
              <w:t>1.00</w:t>
            </w:r>
          </w:p>
        </w:tc>
        <w:tc>
          <w:tcPr>
            <w:tcW w:w="125" w:type="pct"/>
          </w:tcPr>
          <w:p w:rsidR="00676448" w:rsidRPr="008B4B4C" w:rsidRDefault="00676448" w:rsidP="00987337">
            <w:pPr>
              <w:jc w:val="center"/>
            </w:pPr>
          </w:p>
        </w:tc>
        <w:tc>
          <w:tcPr>
            <w:tcW w:w="264" w:type="pct"/>
          </w:tcPr>
          <w:p w:rsidR="00676448" w:rsidRPr="008B4B4C" w:rsidRDefault="00676448" w:rsidP="00987337">
            <w:pPr>
              <w:jc w:val="center"/>
            </w:pPr>
            <w:r w:rsidRPr="008B4B4C">
              <w:rPr>
                <w:sz w:val="22"/>
                <w:szCs w:val="22"/>
              </w:rPr>
              <w:t>-</w:t>
            </w:r>
          </w:p>
        </w:tc>
        <w:tc>
          <w:tcPr>
            <w:tcW w:w="815" w:type="pct"/>
          </w:tcPr>
          <w:p w:rsidR="00676448" w:rsidRPr="008B4B4C" w:rsidRDefault="00676448" w:rsidP="00987337">
            <w:pPr>
              <w:jc w:val="center"/>
            </w:pPr>
            <w:r w:rsidRPr="008B4B4C">
              <w:rPr>
                <w:sz w:val="22"/>
                <w:szCs w:val="22"/>
              </w:rPr>
              <w:t>-</w:t>
            </w:r>
          </w:p>
        </w:tc>
        <w:tc>
          <w:tcPr>
            <w:tcW w:w="134" w:type="pct"/>
          </w:tcPr>
          <w:p w:rsidR="00676448" w:rsidRPr="008B4B4C" w:rsidRDefault="00676448" w:rsidP="00987337">
            <w:pPr>
              <w:jc w:val="center"/>
            </w:pPr>
          </w:p>
        </w:tc>
        <w:tc>
          <w:tcPr>
            <w:tcW w:w="294" w:type="pct"/>
          </w:tcPr>
          <w:p w:rsidR="00676448" w:rsidRPr="008B4B4C" w:rsidRDefault="00676448" w:rsidP="00987337">
            <w:pPr>
              <w:jc w:val="center"/>
            </w:pPr>
            <w:r w:rsidRPr="008B4B4C">
              <w:rPr>
                <w:sz w:val="22"/>
                <w:szCs w:val="22"/>
              </w:rPr>
              <w:t>1760</w:t>
            </w:r>
          </w:p>
        </w:tc>
        <w:tc>
          <w:tcPr>
            <w:tcW w:w="749" w:type="pct"/>
            <w:tcBorders>
              <w:right w:val="single" w:sz="4" w:space="0" w:color="auto"/>
            </w:tcBorders>
          </w:tcPr>
          <w:p w:rsidR="00676448" w:rsidRPr="008B4B4C" w:rsidRDefault="00676448" w:rsidP="00987337">
            <w:pPr>
              <w:jc w:val="center"/>
            </w:pPr>
            <w:r w:rsidRPr="008B4B4C">
              <w:rPr>
                <w:sz w:val="22"/>
                <w:szCs w:val="22"/>
              </w:rPr>
              <w:t>1.00</w:t>
            </w:r>
          </w:p>
        </w:tc>
      </w:tr>
      <w:tr w:rsidR="00676448" w:rsidRPr="008B4B4C">
        <w:tc>
          <w:tcPr>
            <w:tcW w:w="1429" w:type="pct"/>
            <w:tcBorders>
              <w:left w:val="single" w:sz="4" w:space="0" w:color="auto"/>
              <w:bottom w:val="single" w:sz="4" w:space="0" w:color="auto"/>
            </w:tcBorders>
          </w:tcPr>
          <w:p w:rsidR="00676448" w:rsidRPr="008B4B4C" w:rsidRDefault="00676448" w:rsidP="00987337">
            <w:r w:rsidRPr="008B4B4C">
              <w:rPr>
                <w:sz w:val="22"/>
                <w:szCs w:val="22"/>
              </w:rPr>
              <w:t>Currently using</w:t>
            </w:r>
          </w:p>
        </w:tc>
        <w:tc>
          <w:tcPr>
            <w:tcW w:w="274" w:type="pct"/>
            <w:tcBorders>
              <w:bottom w:val="single" w:sz="4" w:space="0" w:color="auto"/>
            </w:tcBorders>
          </w:tcPr>
          <w:p w:rsidR="00676448" w:rsidRPr="008B4B4C" w:rsidRDefault="00676448" w:rsidP="00987337">
            <w:pPr>
              <w:jc w:val="center"/>
            </w:pPr>
            <w:r w:rsidRPr="008B4B4C">
              <w:rPr>
                <w:sz w:val="22"/>
                <w:szCs w:val="22"/>
              </w:rPr>
              <w:t xml:space="preserve">960 </w:t>
            </w:r>
          </w:p>
        </w:tc>
        <w:tc>
          <w:tcPr>
            <w:tcW w:w="916" w:type="pct"/>
            <w:tcBorders>
              <w:bottom w:val="single" w:sz="4" w:space="0" w:color="auto"/>
            </w:tcBorders>
          </w:tcPr>
          <w:p w:rsidR="00676448" w:rsidRPr="008B4B4C" w:rsidRDefault="00676448" w:rsidP="00987337">
            <w:pPr>
              <w:jc w:val="center"/>
            </w:pPr>
            <w:r w:rsidRPr="008B4B4C">
              <w:rPr>
                <w:sz w:val="22"/>
                <w:szCs w:val="22"/>
              </w:rPr>
              <w:t>1.99 (1.53 to 2.60)</w:t>
            </w:r>
          </w:p>
        </w:tc>
        <w:tc>
          <w:tcPr>
            <w:tcW w:w="125" w:type="pct"/>
            <w:tcBorders>
              <w:bottom w:val="single" w:sz="4" w:space="0" w:color="auto"/>
            </w:tcBorders>
          </w:tcPr>
          <w:p w:rsidR="00676448" w:rsidRPr="008B4B4C" w:rsidRDefault="00676448" w:rsidP="00987337">
            <w:pPr>
              <w:jc w:val="center"/>
            </w:pPr>
          </w:p>
        </w:tc>
        <w:tc>
          <w:tcPr>
            <w:tcW w:w="264" w:type="pct"/>
            <w:tcBorders>
              <w:bottom w:val="single" w:sz="4" w:space="0" w:color="auto"/>
            </w:tcBorders>
          </w:tcPr>
          <w:p w:rsidR="00676448" w:rsidRPr="008B4B4C" w:rsidRDefault="00676448" w:rsidP="00987337">
            <w:pPr>
              <w:jc w:val="center"/>
            </w:pPr>
            <w:r w:rsidRPr="008B4B4C">
              <w:rPr>
                <w:sz w:val="22"/>
                <w:szCs w:val="22"/>
              </w:rPr>
              <w:t>-</w:t>
            </w:r>
          </w:p>
        </w:tc>
        <w:tc>
          <w:tcPr>
            <w:tcW w:w="815" w:type="pct"/>
            <w:tcBorders>
              <w:bottom w:val="single" w:sz="4" w:space="0" w:color="auto"/>
            </w:tcBorders>
          </w:tcPr>
          <w:p w:rsidR="00676448" w:rsidRPr="008B4B4C" w:rsidRDefault="00676448" w:rsidP="00987337">
            <w:pPr>
              <w:jc w:val="center"/>
            </w:pPr>
            <w:r w:rsidRPr="008B4B4C">
              <w:rPr>
                <w:sz w:val="22"/>
                <w:szCs w:val="22"/>
              </w:rPr>
              <w:t>-</w:t>
            </w:r>
          </w:p>
        </w:tc>
        <w:tc>
          <w:tcPr>
            <w:tcW w:w="134" w:type="pct"/>
            <w:tcBorders>
              <w:bottom w:val="single" w:sz="4" w:space="0" w:color="auto"/>
            </w:tcBorders>
          </w:tcPr>
          <w:p w:rsidR="00676448" w:rsidRPr="008B4B4C" w:rsidRDefault="00676448" w:rsidP="00987337">
            <w:pPr>
              <w:jc w:val="center"/>
            </w:pPr>
          </w:p>
        </w:tc>
        <w:tc>
          <w:tcPr>
            <w:tcW w:w="294" w:type="pct"/>
            <w:tcBorders>
              <w:bottom w:val="single" w:sz="4" w:space="0" w:color="auto"/>
            </w:tcBorders>
          </w:tcPr>
          <w:p w:rsidR="00676448" w:rsidRPr="008B4B4C" w:rsidRDefault="00676448" w:rsidP="00987337">
            <w:pPr>
              <w:jc w:val="center"/>
            </w:pPr>
            <w:r w:rsidRPr="008B4B4C">
              <w:rPr>
                <w:sz w:val="22"/>
                <w:szCs w:val="22"/>
              </w:rPr>
              <w:t>960</w:t>
            </w:r>
          </w:p>
        </w:tc>
        <w:tc>
          <w:tcPr>
            <w:tcW w:w="749" w:type="pct"/>
            <w:tcBorders>
              <w:bottom w:val="single" w:sz="4" w:space="0" w:color="auto"/>
              <w:right w:val="single" w:sz="4" w:space="0" w:color="auto"/>
            </w:tcBorders>
          </w:tcPr>
          <w:p w:rsidR="00676448" w:rsidRPr="008B4B4C" w:rsidRDefault="00676448" w:rsidP="00987337">
            <w:pPr>
              <w:jc w:val="center"/>
            </w:pPr>
            <w:r w:rsidRPr="008B4B4C">
              <w:rPr>
                <w:sz w:val="22"/>
                <w:szCs w:val="22"/>
              </w:rPr>
              <w:t>1.28 (1.01 to 1.63)</w:t>
            </w:r>
          </w:p>
        </w:tc>
      </w:tr>
    </w:tbl>
    <w:p w:rsidR="00676448" w:rsidRDefault="00676448"/>
    <w:p w:rsidR="00676448" w:rsidRPr="0086074A" w:rsidRDefault="00676448">
      <w:pPr>
        <w:rPr>
          <w:sz w:val="18"/>
          <w:szCs w:val="18"/>
        </w:rPr>
      </w:pPr>
      <w:r w:rsidRPr="0086074A">
        <w:rPr>
          <w:sz w:val="18"/>
          <w:szCs w:val="18"/>
          <w:vertAlign w:val="superscript"/>
        </w:rPr>
        <w:t>1</w:t>
      </w:r>
      <w:r w:rsidRPr="0086074A">
        <w:rPr>
          <w:sz w:val="18"/>
          <w:szCs w:val="18"/>
        </w:rPr>
        <w:t xml:space="preserve"> Excludes women with missing information</w:t>
      </w:r>
    </w:p>
    <w:p w:rsidR="00676448" w:rsidRDefault="00676448">
      <w:r w:rsidRPr="0086074A">
        <w:rPr>
          <w:sz w:val="18"/>
          <w:szCs w:val="18"/>
          <w:vertAlign w:val="superscript"/>
        </w:rPr>
        <w:t>2</w:t>
      </w:r>
      <w:r w:rsidRPr="0086074A">
        <w:rPr>
          <w:sz w:val="18"/>
          <w:szCs w:val="18"/>
        </w:rPr>
        <w:t xml:space="preserve"> Reference group</w:t>
      </w:r>
      <w:r>
        <w:br w:type="page"/>
      </w:r>
    </w:p>
    <w:p w:rsidR="00676448" w:rsidRPr="006A0D63" w:rsidRDefault="00676448" w:rsidP="00B0669A">
      <w:pPr>
        <w:pStyle w:val="Caption"/>
        <w:keepNext/>
        <w:spacing w:before="0" w:after="0"/>
        <w:rPr>
          <w:rFonts w:ascii="Times New Roman" w:hAnsi="Times New Roman" w:cs="Times New Roman"/>
          <w:sz w:val="24"/>
          <w:szCs w:val="24"/>
        </w:rPr>
      </w:pPr>
      <w:r w:rsidRPr="006F6171">
        <w:rPr>
          <w:rFonts w:ascii="Times New Roman" w:hAnsi="Times New Roman" w:cs="Times New Roman"/>
          <w:color w:val="0000FF"/>
          <w:sz w:val="24"/>
          <w:szCs w:val="24"/>
        </w:rPr>
        <w:t>Box 1.</w:t>
      </w:r>
      <w:r w:rsidRPr="006A0D63">
        <w:rPr>
          <w:rFonts w:ascii="Times New Roman" w:hAnsi="Times New Roman" w:cs="Times New Roman"/>
          <w:sz w:val="24"/>
          <w:szCs w:val="24"/>
        </w:rPr>
        <w:t xml:space="preserve"> Summary of factors </w:t>
      </w:r>
      <w:r>
        <w:rPr>
          <w:rFonts w:ascii="Times New Roman" w:hAnsi="Times New Roman" w:cs="Times New Roman"/>
          <w:sz w:val="24"/>
          <w:szCs w:val="24"/>
        </w:rPr>
        <w:t xml:space="preserve">independently associated with an increased [↑] or decreased [↓] chance </w:t>
      </w:r>
      <w:r w:rsidRPr="006A0D63">
        <w:rPr>
          <w:rFonts w:ascii="Times New Roman" w:hAnsi="Times New Roman" w:cs="Times New Roman"/>
          <w:sz w:val="24"/>
          <w:szCs w:val="24"/>
        </w:rPr>
        <w:t xml:space="preserve">of reporting </w:t>
      </w:r>
      <w:r w:rsidRPr="001965D6">
        <w:rPr>
          <w:rFonts w:ascii="Times New Roman" w:hAnsi="Times New Roman" w:cs="Times New Roman"/>
          <w:sz w:val="24"/>
          <w:szCs w:val="24"/>
        </w:rPr>
        <w:t xml:space="preserve">hot flushes, night sweats </w:t>
      </w:r>
      <w:r w:rsidRPr="006A0D63">
        <w:rPr>
          <w:rFonts w:ascii="Times New Roman" w:hAnsi="Times New Roman" w:cs="Times New Roman"/>
          <w:sz w:val="24"/>
          <w:szCs w:val="24"/>
        </w:rPr>
        <w:t>and vaginal dryness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4683"/>
        <w:gridCol w:w="4697"/>
      </w:tblGrid>
      <w:tr w:rsidR="00676448" w:rsidRPr="00182CAE">
        <w:tc>
          <w:tcPr>
            <w:tcW w:w="4724" w:type="dxa"/>
          </w:tcPr>
          <w:p w:rsidR="00676448" w:rsidRPr="001965D6" w:rsidRDefault="00676448" w:rsidP="00987337">
            <w:pPr>
              <w:jc w:val="center"/>
              <w:rPr>
                <w:b/>
                <w:bCs/>
              </w:rPr>
            </w:pPr>
            <w:r w:rsidRPr="001965D6">
              <w:rPr>
                <w:b/>
                <w:bCs/>
                <w:sz w:val="22"/>
                <w:szCs w:val="22"/>
              </w:rPr>
              <w:t>Hot flushes</w:t>
            </w:r>
          </w:p>
        </w:tc>
        <w:tc>
          <w:tcPr>
            <w:tcW w:w="4725" w:type="dxa"/>
          </w:tcPr>
          <w:p w:rsidR="00676448" w:rsidRPr="001965D6" w:rsidRDefault="00676448" w:rsidP="00987337">
            <w:pPr>
              <w:jc w:val="center"/>
              <w:rPr>
                <w:b/>
                <w:bCs/>
              </w:rPr>
            </w:pPr>
            <w:r w:rsidRPr="001965D6">
              <w:rPr>
                <w:b/>
                <w:bCs/>
                <w:sz w:val="22"/>
                <w:szCs w:val="22"/>
              </w:rPr>
              <w:t>Night sweats</w:t>
            </w:r>
          </w:p>
        </w:tc>
        <w:tc>
          <w:tcPr>
            <w:tcW w:w="4725" w:type="dxa"/>
          </w:tcPr>
          <w:p w:rsidR="00676448" w:rsidRPr="00643000" w:rsidRDefault="00676448" w:rsidP="00987337">
            <w:pPr>
              <w:jc w:val="center"/>
              <w:rPr>
                <w:b/>
                <w:bCs/>
              </w:rPr>
            </w:pPr>
            <w:r w:rsidRPr="00643000">
              <w:rPr>
                <w:b/>
                <w:bCs/>
                <w:sz w:val="22"/>
                <w:szCs w:val="22"/>
              </w:rPr>
              <w:t>Vaginal dryness</w:t>
            </w:r>
          </w:p>
        </w:tc>
      </w:tr>
      <w:tr w:rsidR="00676448" w:rsidRPr="00182CAE">
        <w:trPr>
          <w:trHeight w:val="3359"/>
        </w:trPr>
        <w:tc>
          <w:tcPr>
            <w:tcW w:w="4724" w:type="dxa"/>
          </w:tcPr>
          <w:p w:rsidR="00676448" w:rsidRPr="00643000" w:rsidRDefault="00676448" w:rsidP="00987337"/>
          <w:p w:rsidR="00676448" w:rsidRPr="00643000" w:rsidRDefault="00676448" w:rsidP="00987337">
            <w:pPr>
              <w:numPr>
                <w:ilvl w:val="0"/>
                <w:numId w:val="9"/>
              </w:numPr>
            </w:pPr>
            <w:r w:rsidRPr="00643000">
              <w:t xml:space="preserve">↑ </w:t>
            </w:r>
            <w:r w:rsidRPr="00643000">
              <w:rPr>
                <w:sz w:val="22"/>
                <w:szCs w:val="22"/>
              </w:rPr>
              <w:t xml:space="preserve">Being </w:t>
            </w:r>
            <w:proofErr w:type="spellStart"/>
            <w:r w:rsidRPr="00643000">
              <w:rPr>
                <w:sz w:val="22"/>
                <w:szCs w:val="22"/>
              </w:rPr>
              <w:t>perimenopausal</w:t>
            </w:r>
            <w:proofErr w:type="spellEnd"/>
            <w:r w:rsidRPr="00643000">
              <w:rPr>
                <w:sz w:val="22"/>
                <w:szCs w:val="22"/>
              </w:rPr>
              <w:t xml:space="preserve">, postmenopausal or surgically menopausal </w:t>
            </w:r>
          </w:p>
          <w:p w:rsidR="00676448" w:rsidRPr="00643000" w:rsidRDefault="00676448" w:rsidP="00987337"/>
          <w:p w:rsidR="00676448" w:rsidRPr="00643000" w:rsidRDefault="00676448" w:rsidP="00987337">
            <w:pPr>
              <w:numPr>
                <w:ilvl w:val="0"/>
                <w:numId w:val="9"/>
              </w:numPr>
            </w:pPr>
            <w:r w:rsidRPr="00643000">
              <w:t xml:space="preserve">↑ </w:t>
            </w:r>
            <w:r w:rsidRPr="00643000">
              <w:rPr>
                <w:sz w:val="22"/>
                <w:szCs w:val="22"/>
              </w:rPr>
              <w:t>Having a BMI of ≥30</w:t>
            </w:r>
            <w:r>
              <w:rPr>
                <w:sz w:val="22"/>
                <w:szCs w:val="22"/>
              </w:rPr>
              <w:t>kg/m</w:t>
            </w:r>
            <w:r>
              <w:rPr>
                <w:sz w:val="22"/>
                <w:szCs w:val="22"/>
                <w:vertAlign w:val="superscript"/>
              </w:rPr>
              <w:t>2</w:t>
            </w:r>
            <w:r w:rsidRPr="00643000">
              <w:rPr>
                <w:sz w:val="22"/>
                <w:szCs w:val="22"/>
              </w:rPr>
              <w:t xml:space="preserve"> (obese) </w:t>
            </w:r>
          </w:p>
          <w:p w:rsidR="00676448" w:rsidRPr="00643000" w:rsidRDefault="00676448" w:rsidP="00987337"/>
          <w:p w:rsidR="00676448" w:rsidRPr="00643000" w:rsidRDefault="00676448" w:rsidP="00987337">
            <w:pPr>
              <w:numPr>
                <w:ilvl w:val="0"/>
                <w:numId w:val="9"/>
              </w:numPr>
            </w:pPr>
            <w:r w:rsidRPr="00643000">
              <w:t xml:space="preserve">↑ </w:t>
            </w:r>
            <w:r w:rsidRPr="00643000">
              <w:rPr>
                <w:sz w:val="22"/>
                <w:szCs w:val="22"/>
              </w:rPr>
              <w:t>Reporting two musculoskeletal</w:t>
            </w:r>
            <w:r>
              <w:rPr>
                <w:sz w:val="22"/>
                <w:szCs w:val="22"/>
              </w:rPr>
              <w:t xml:space="preserve">, </w:t>
            </w:r>
            <w:r w:rsidRPr="00643000">
              <w:rPr>
                <w:sz w:val="22"/>
                <w:szCs w:val="22"/>
              </w:rPr>
              <w:t xml:space="preserve"> </w:t>
            </w:r>
            <w:r>
              <w:rPr>
                <w:sz w:val="22"/>
                <w:szCs w:val="22"/>
              </w:rPr>
              <w:t xml:space="preserve">two </w:t>
            </w:r>
            <w:r w:rsidRPr="00643000">
              <w:rPr>
                <w:sz w:val="22"/>
                <w:szCs w:val="22"/>
              </w:rPr>
              <w:t xml:space="preserve">bloating, </w:t>
            </w:r>
            <w:r>
              <w:rPr>
                <w:sz w:val="22"/>
                <w:szCs w:val="22"/>
              </w:rPr>
              <w:t>two</w:t>
            </w:r>
            <w:r w:rsidRPr="00643000">
              <w:rPr>
                <w:sz w:val="22"/>
                <w:szCs w:val="22"/>
              </w:rPr>
              <w:t xml:space="preserve"> menstrual </w:t>
            </w:r>
            <w:r>
              <w:rPr>
                <w:sz w:val="22"/>
                <w:szCs w:val="22"/>
              </w:rPr>
              <w:t xml:space="preserve">or two </w:t>
            </w:r>
            <w:r w:rsidRPr="00643000">
              <w:rPr>
                <w:sz w:val="22"/>
                <w:szCs w:val="22"/>
              </w:rPr>
              <w:t>sexual symptoms</w:t>
            </w:r>
          </w:p>
          <w:p w:rsidR="00676448" w:rsidRPr="00643000" w:rsidRDefault="00676448" w:rsidP="00987337"/>
          <w:p w:rsidR="00676448" w:rsidRPr="00643000" w:rsidRDefault="00676448" w:rsidP="00987337">
            <w:pPr>
              <w:numPr>
                <w:ilvl w:val="0"/>
                <w:numId w:val="9"/>
              </w:numPr>
            </w:pPr>
            <w:r w:rsidRPr="00643000">
              <w:t xml:space="preserve">↑ </w:t>
            </w:r>
            <w:r w:rsidRPr="00643000">
              <w:rPr>
                <w:sz w:val="22"/>
                <w:szCs w:val="22"/>
              </w:rPr>
              <w:t xml:space="preserve">Reporting </w:t>
            </w:r>
            <w:r w:rsidRPr="001965D6">
              <w:rPr>
                <w:sz w:val="22"/>
                <w:szCs w:val="22"/>
              </w:rPr>
              <w:t>night sweats</w:t>
            </w:r>
          </w:p>
          <w:p w:rsidR="00676448" w:rsidRPr="00643000" w:rsidRDefault="00676448" w:rsidP="00987337"/>
          <w:p w:rsidR="00676448" w:rsidRPr="00643000" w:rsidRDefault="00676448" w:rsidP="00987337">
            <w:pPr>
              <w:numPr>
                <w:ilvl w:val="0"/>
                <w:numId w:val="10"/>
              </w:numPr>
            </w:pPr>
            <w:r w:rsidRPr="00643000">
              <w:t xml:space="preserve">↑ </w:t>
            </w:r>
            <w:r w:rsidRPr="00643000">
              <w:rPr>
                <w:sz w:val="22"/>
                <w:szCs w:val="22"/>
              </w:rPr>
              <w:t>Currently using a CAM, lifestyle or psychological strateg</w:t>
            </w:r>
            <w:r>
              <w:rPr>
                <w:sz w:val="22"/>
                <w:szCs w:val="22"/>
              </w:rPr>
              <w:t>y</w:t>
            </w:r>
            <w:r w:rsidRPr="00643000">
              <w:rPr>
                <w:sz w:val="22"/>
                <w:szCs w:val="22"/>
              </w:rPr>
              <w:t xml:space="preserve"> to manage symptoms attributed to the menopause</w:t>
            </w:r>
          </w:p>
          <w:p w:rsidR="00676448" w:rsidRPr="00643000" w:rsidRDefault="00676448" w:rsidP="00987337"/>
          <w:p w:rsidR="00676448" w:rsidRPr="00643000" w:rsidRDefault="00676448" w:rsidP="00987337">
            <w:pPr>
              <w:numPr>
                <w:ilvl w:val="0"/>
                <w:numId w:val="10"/>
              </w:numPr>
            </w:pPr>
            <w:r w:rsidRPr="00643000">
              <w:t xml:space="preserve">↓ </w:t>
            </w:r>
            <w:r w:rsidRPr="00643000">
              <w:rPr>
                <w:sz w:val="22"/>
                <w:szCs w:val="22"/>
              </w:rPr>
              <w:t>Having good social support from friends</w:t>
            </w:r>
          </w:p>
          <w:p w:rsidR="00676448" w:rsidRPr="00643000" w:rsidRDefault="00676448" w:rsidP="00987337"/>
          <w:p w:rsidR="00676448" w:rsidRPr="00643000" w:rsidRDefault="00676448" w:rsidP="00987337">
            <w:pPr>
              <w:numPr>
                <w:ilvl w:val="0"/>
                <w:numId w:val="10"/>
              </w:numPr>
            </w:pPr>
            <w:r w:rsidRPr="00643000">
              <w:t xml:space="preserve">↓ </w:t>
            </w:r>
            <w:r>
              <w:t>Having</w:t>
            </w:r>
            <w:r w:rsidRPr="00643000">
              <w:rPr>
                <w:sz w:val="22"/>
                <w:szCs w:val="22"/>
              </w:rPr>
              <w:t xml:space="preserve"> a high level of educational attainment (degree or postgraduate qualification)</w:t>
            </w:r>
          </w:p>
          <w:p w:rsidR="00676448" w:rsidRPr="00643000" w:rsidRDefault="00676448" w:rsidP="00987337"/>
          <w:p w:rsidR="00676448" w:rsidRPr="00643000" w:rsidRDefault="00676448" w:rsidP="00987337"/>
        </w:tc>
        <w:tc>
          <w:tcPr>
            <w:tcW w:w="4725" w:type="dxa"/>
          </w:tcPr>
          <w:p w:rsidR="00676448" w:rsidRPr="00643000" w:rsidRDefault="00676448" w:rsidP="00987337"/>
          <w:p w:rsidR="00676448" w:rsidRPr="00643000" w:rsidRDefault="00676448" w:rsidP="00987337">
            <w:pPr>
              <w:numPr>
                <w:ilvl w:val="0"/>
                <w:numId w:val="9"/>
              </w:numPr>
            </w:pPr>
            <w:r w:rsidRPr="00643000">
              <w:t xml:space="preserve">↑ </w:t>
            </w:r>
            <w:r w:rsidRPr="00643000">
              <w:rPr>
                <w:sz w:val="22"/>
                <w:szCs w:val="22"/>
              </w:rPr>
              <w:t>Being a smoker</w:t>
            </w:r>
          </w:p>
          <w:p w:rsidR="00676448" w:rsidRPr="00643000" w:rsidRDefault="00676448" w:rsidP="00987337"/>
          <w:p w:rsidR="00676448" w:rsidRPr="00643000" w:rsidRDefault="00676448" w:rsidP="00987337">
            <w:pPr>
              <w:numPr>
                <w:ilvl w:val="0"/>
                <w:numId w:val="9"/>
              </w:numPr>
            </w:pPr>
            <w:r w:rsidRPr="00643000">
              <w:t xml:space="preserve">↑ </w:t>
            </w:r>
            <w:r w:rsidRPr="00643000">
              <w:rPr>
                <w:sz w:val="22"/>
                <w:szCs w:val="22"/>
              </w:rPr>
              <w:t xml:space="preserve">Possibly having depression </w:t>
            </w:r>
          </w:p>
          <w:p w:rsidR="00676448" w:rsidRPr="00643000" w:rsidRDefault="00676448" w:rsidP="00987337"/>
          <w:p w:rsidR="00676448" w:rsidRPr="00643000" w:rsidRDefault="00676448" w:rsidP="00987337">
            <w:pPr>
              <w:numPr>
                <w:ilvl w:val="0"/>
                <w:numId w:val="9"/>
              </w:numPr>
            </w:pPr>
            <w:r w:rsidRPr="00643000">
              <w:t>↑</w:t>
            </w:r>
            <w:r w:rsidRPr="00643000">
              <w:rPr>
                <w:sz w:val="22"/>
                <w:szCs w:val="22"/>
              </w:rPr>
              <w:t>Reporting one or two sexual symptoms</w:t>
            </w:r>
          </w:p>
          <w:p w:rsidR="00676448" w:rsidRPr="00643000" w:rsidRDefault="00676448" w:rsidP="00987337"/>
          <w:p w:rsidR="00676448" w:rsidRPr="00643000" w:rsidRDefault="00676448" w:rsidP="00987337">
            <w:pPr>
              <w:numPr>
                <w:ilvl w:val="0"/>
                <w:numId w:val="9"/>
              </w:numPr>
            </w:pPr>
            <w:r w:rsidRPr="00643000">
              <w:t xml:space="preserve">↑ </w:t>
            </w:r>
            <w:r w:rsidRPr="00643000">
              <w:rPr>
                <w:sz w:val="22"/>
                <w:szCs w:val="22"/>
              </w:rPr>
              <w:t xml:space="preserve">Reporting </w:t>
            </w:r>
            <w:r w:rsidRPr="001965D6">
              <w:rPr>
                <w:sz w:val="22"/>
                <w:szCs w:val="22"/>
              </w:rPr>
              <w:t>hot flushes</w:t>
            </w:r>
            <w:r w:rsidRPr="00643000">
              <w:rPr>
                <w:sz w:val="22"/>
                <w:szCs w:val="22"/>
              </w:rPr>
              <w:t xml:space="preserve"> </w:t>
            </w:r>
          </w:p>
          <w:p w:rsidR="00676448" w:rsidRPr="00643000" w:rsidRDefault="00676448" w:rsidP="00987337"/>
          <w:p w:rsidR="00676448" w:rsidRPr="00643000" w:rsidRDefault="00676448" w:rsidP="00987337">
            <w:pPr>
              <w:numPr>
                <w:ilvl w:val="0"/>
                <w:numId w:val="9"/>
              </w:numPr>
            </w:pPr>
            <w:r w:rsidRPr="00643000">
              <w:t>↑</w:t>
            </w:r>
            <w:r w:rsidRPr="00643000">
              <w:rPr>
                <w:sz w:val="22"/>
                <w:szCs w:val="22"/>
              </w:rPr>
              <w:t>Reporting sleep difficulties</w:t>
            </w:r>
          </w:p>
          <w:p w:rsidR="00676448" w:rsidRPr="00643000" w:rsidRDefault="00676448" w:rsidP="00987337"/>
          <w:p w:rsidR="00676448" w:rsidRPr="00643000" w:rsidRDefault="00676448" w:rsidP="00987337">
            <w:pPr>
              <w:numPr>
                <w:ilvl w:val="0"/>
                <w:numId w:val="9"/>
              </w:numPr>
            </w:pPr>
            <w:r w:rsidRPr="00643000">
              <w:t xml:space="preserve">↑ </w:t>
            </w:r>
            <w:r w:rsidRPr="00643000">
              <w:rPr>
                <w:sz w:val="22"/>
                <w:szCs w:val="22"/>
              </w:rPr>
              <w:t xml:space="preserve">Currently using </w:t>
            </w:r>
            <w:r>
              <w:rPr>
                <w:sz w:val="22"/>
                <w:szCs w:val="22"/>
              </w:rPr>
              <w:t xml:space="preserve">a </w:t>
            </w:r>
            <w:r w:rsidRPr="00643000">
              <w:rPr>
                <w:sz w:val="22"/>
                <w:szCs w:val="22"/>
              </w:rPr>
              <w:t>lifestyle strategy to manage symptoms attributed to the menopause</w:t>
            </w:r>
          </w:p>
          <w:p w:rsidR="00676448" w:rsidRPr="00643000" w:rsidRDefault="00676448" w:rsidP="00987337"/>
          <w:p w:rsidR="00676448" w:rsidRPr="00643000" w:rsidRDefault="00676448" w:rsidP="00987337">
            <w:pPr>
              <w:numPr>
                <w:ilvl w:val="0"/>
                <w:numId w:val="9"/>
              </w:numPr>
            </w:pPr>
            <w:r w:rsidRPr="00643000">
              <w:t xml:space="preserve">↓ </w:t>
            </w:r>
            <w:r w:rsidRPr="00643000">
              <w:rPr>
                <w:sz w:val="22"/>
                <w:szCs w:val="22"/>
              </w:rPr>
              <w:t>Having a BMI of ≥30</w:t>
            </w:r>
            <w:r>
              <w:rPr>
                <w:sz w:val="22"/>
                <w:szCs w:val="22"/>
              </w:rPr>
              <w:t>kg/</w:t>
            </w:r>
            <w:bookmarkStart w:id="4" w:name="_GoBack"/>
            <w:bookmarkEnd w:id="4"/>
            <w:r>
              <w:rPr>
                <w:sz w:val="22"/>
                <w:szCs w:val="22"/>
              </w:rPr>
              <w:t>m</w:t>
            </w:r>
            <w:r>
              <w:rPr>
                <w:sz w:val="22"/>
                <w:szCs w:val="22"/>
                <w:vertAlign w:val="superscript"/>
              </w:rPr>
              <w:t>2</w:t>
            </w:r>
            <w:r w:rsidRPr="00643000">
              <w:rPr>
                <w:sz w:val="22"/>
                <w:szCs w:val="22"/>
              </w:rPr>
              <w:t xml:space="preserve"> (obese)</w:t>
            </w:r>
          </w:p>
          <w:p w:rsidR="00676448" w:rsidRPr="00643000" w:rsidRDefault="00676448" w:rsidP="00987337"/>
        </w:tc>
        <w:tc>
          <w:tcPr>
            <w:tcW w:w="4725" w:type="dxa"/>
          </w:tcPr>
          <w:p w:rsidR="00676448" w:rsidRPr="00643000" w:rsidRDefault="00676448" w:rsidP="00987337">
            <w:pPr>
              <w:numPr>
                <w:ilvl w:val="0"/>
                <w:numId w:val="12"/>
              </w:numPr>
            </w:pPr>
            <w:r w:rsidRPr="00643000">
              <w:t xml:space="preserve">↑ </w:t>
            </w:r>
            <w:r w:rsidRPr="00643000">
              <w:rPr>
                <w:sz w:val="22"/>
                <w:szCs w:val="22"/>
              </w:rPr>
              <w:t xml:space="preserve">Being postmenopausal or surgically menopausal </w:t>
            </w:r>
          </w:p>
          <w:p w:rsidR="00676448" w:rsidRPr="00643000" w:rsidRDefault="00676448" w:rsidP="00987337"/>
          <w:p w:rsidR="00676448" w:rsidRPr="00643000" w:rsidRDefault="00676448" w:rsidP="00987337">
            <w:pPr>
              <w:numPr>
                <w:ilvl w:val="0"/>
                <w:numId w:val="12"/>
              </w:numPr>
            </w:pPr>
            <w:r w:rsidRPr="00643000">
              <w:rPr>
                <w:sz w:val="22"/>
                <w:szCs w:val="22"/>
              </w:rPr>
              <w:t>↑Reporting a moderate or high level of education</w:t>
            </w:r>
            <w:r>
              <w:rPr>
                <w:sz w:val="22"/>
                <w:szCs w:val="22"/>
              </w:rPr>
              <w:t>(higher/college, or degree/postgraduate qualifications)</w:t>
            </w:r>
            <w:r w:rsidRPr="00643000">
              <w:rPr>
                <w:sz w:val="22"/>
                <w:szCs w:val="22"/>
              </w:rPr>
              <w:t xml:space="preserve"> </w:t>
            </w:r>
          </w:p>
          <w:p w:rsidR="00676448" w:rsidRPr="00643000" w:rsidRDefault="00676448" w:rsidP="00987337"/>
          <w:p w:rsidR="00676448" w:rsidRPr="00643000" w:rsidRDefault="00676448" w:rsidP="00987337">
            <w:pPr>
              <w:numPr>
                <w:ilvl w:val="0"/>
                <w:numId w:val="12"/>
              </w:numPr>
            </w:pPr>
            <w:r w:rsidRPr="00643000">
              <w:rPr>
                <w:sz w:val="22"/>
                <w:szCs w:val="22"/>
              </w:rPr>
              <w:t>↑ Having good social support from a significant other</w:t>
            </w:r>
          </w:p>
          <w:p w:rsidR="00676448" w:rsidRPr="00643000" w:rsidRDefault="00676448" w:rsidP="00987337"/>
          <w:p w:rsidR="00676448" w:rsidRPr="00643000" w:rsidRDefault="00676448" w:rsidP="00987337">
            <w:pPr>
              <w:numPr>
                <w:ilvl w:val="0"/>
                <w:numId w:val="12"/>
              </w:numPr>
            </w:pPr>
            <w:r w:rsidRPr="00643000">
              <w:t>↑</w:t>
            </w:r>
            <w:r>
              <w:t xml:space="preserve">Below median </w:t>
            </w:r>
            <w:r w:rsidRPr="00643000">
              <w:rPr>
                <w:sz w:val="22"/>
                <w:szCs w:val="22"/>
              </w:rPr>
              <w:t xml:space="preserve">physical health </w:t>
            </w:r>
          </w:p>
          <w:p w:rsidR="00676448" w:rsidRPr="00643000" w:rsidRDefault="00676448" w:rsidP="00987337"/>
          <w:p w:rsidR="00676448" w:rsidRPr="00643000" w:rsidRDefault="00676448" w:rsidP="00987337">
            <w:pPr>
              <w:numPr>
                <w:ilvl w:val="0"/>
                <w:numId w:val="11"/>
              </w:numPr>
            </w:pPr>
            <w:r w:rsidRPr="00643000">
              <w:t xml:space="preserve">↑ </w:t>
            </w:r>
            <w:r w:rsidRPr="00643000">
              <w:rPr>
                <w:sz w:val="22"/>
                <w:szCs w:val="22"/>
              </w:rPr>
              <w:t>Reporting one, two, four or five somatic symptoms</w:t>
            </w:r>
          </w:p>
          <w:p w:rsidR="00676448" w:rsidRPr="00643000" w:rsidRDefault="00676448" w:rsidP="00987337"/>
          <w:p w:rsidR="00676448" w:rsidRPr="00643000" w:rsidRDefault="00676448" w:rsidP="00987337">
            <w:pPr>
              <w:numPr>
                <w:ilvl w:val="0"/>
                <w:numId w:val="9"/>
              </w:numPr>
            </w:pPr>
            <w:r w:rsidRPr="00643000">
              <w:rPr>
                <w:sz w:val="22"/>
                <w:szCs w:val="22"/>
              </w:rPr>
              <w:t xml:space="preserve">↑ Reporting </w:t>
            </w:r>
            <w:r w:rsidRPr="001965D6">
              <w:rPr>
                <w:sz w:val="22"/>
                <w:szCs w:val="22"/>
              </w:rPr>
              <w:t>hot flushes</w:t>
            </w:r>
            <w:r w:rsidRPr="00643000">
              <w:rPr>
                <w:sz w:val="22"/>
                <w:szCs w:val="22"/>
              </w:rPr>
              <w:t xml:space="preserve"> </w:t>
            </w:r>
          </w:p>
          <w:p w:rsidR="00676448" w:rsidRPr="00643000" w:rsidRDefault="00676448" w:rsidP="00987337"/>
          <w:p w:rsidR="00676448" w:rsidRPr="00643000" w:rsidRDefault="00676448" w:rsidP="00987337">
            <w:pPr>
              <w:numPr>
                <w:ilvl w:val="0"/>
                <w:numId w:val="9"/>
              </w:numPr>
            </w:pPr>
            <w:r w:rsidRPr="00643000">
              <w:rPr>
                <w:sz w:val="22"/>
                <w:szCs w:val="22"/>
              </w:rPr>
              <w:t xml:space="preserve"> </w:t>
            </w:r>
            <w:r w:rsidRPr="00643000">
              <w:t>↑</w:t>
            </w:r>
            <w:r w:rsidRPr="00643000">
              <w:rPr>
                <w:sz w:val="22"/>
                <w:szCs w:val="22"/>
              </w:rPr>
              <w:t>Reporting decreased sexual interest</w:t>
            </w:r>
          </w:p>
          <w:p w:rsidR="00676448" w:rsidRPr="00643000" w:rsidRDefault="00676448" w:rsidP="00987337"/>
          <w:p w:rsidR="00676448" w:rsidRPr="00643000" w:rsidRDefault="00676448" w:rsidP="00987337">
            <w:pPr>
              <w:numPr>
                <w:ilvl w:val="0"/>
                <w:numId w:val="9"/>
              </w:numPr>
            </w:pPr>
            <w:r w:rsidRPr="00643000">
              <w:rPr>
                <w:sz w:val="22"/>
                <w:szCs w:val="22"/>
              </w:rPr>
              <w:t xml:space="preserve">↑ Currently using </w:t>
            </w:r>
            <w:r>
              <w:rPr>
                <w:sz w:val="22"/>
                <w:szCs w:val="22"/>
              </w:rPr>
              <w:t xml:space="preserve">a </w:t>
            </w:r>
            <w:r w:rsidRPr="00643000">
              <w:rPr>
                <w:sz w:val="22"/>
                <w:szCs w:val="22"/>
              </w:rPr>
              <w:t>lifestyle or psychological strateg</w:t>
            </w:r>
            <w:r>
              <w:rPr>
                <w:sz w:val="22"/>
                <w:szCs w:val="22"/>
              </w:rPr>
              <w:t>y</w:t>
            </w:r>
            <w:r w:rsidRPr="00643000">
              <w:rPr>
                <w:sz w:val="22"/>
                <w:szCs w:val="22"/>
              </w:rPr>
              <w:t xml:space="preserve"> to manage symptoms attributed to the menopause</w:t>
            </w:r>
          </w:p>
          <w:p w:rsidR="00676448" w:rsidRPr="00643000" w:rsidRDefault="00676448" w:rsidP="00987337"/>
        </w:tc>
      </w:tr>
    </w:tbl>
    <w:p w:rsidR="00676448" w:rsidRPr="00C40D8B" w:rsidRDefault="00676448" w:rsidP="005B1D21"/>
    <w:sectPr w:rsidR="00676448" w:rsidRPr="00C40D8B" w:rsidSect="005B1D21">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F3" w:rsidRDefault="00A76EF3">
      <w:r>
        <w:separator/>
      </w:r>
    </w:p>
  </w:endnote>
  <w:endnote w:type="continuationSeparator" w:id="0">
    <w:p w:rsidR="00A76EF3" w:rsidRDefault="00A76EF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F3" w:rsidRDefault="00A76EF3">
      <w:r>
        <w:separator/>
      </w:r>
    </w:p>
  </w:footnote>
  <w:footnote w:type="continuationSeparator" w:id="0">
    <w:p w:rsidR="00A76EF3" w:rsidRDefault="00A76EF3">
      <w:r>
        <w:continuationSeparator/>
      </w:r>
    </w:p>
  </w:footnote>
  <w:footnote w:id="1">
    <w:p w:rsidR="00492F3F" w:rsidRDefault="00492F3F" w:rsidP="00A76ACB">
      <w:pPr>
        <w:pStyle w:val="FootnoteText"/>
      </w:pPr>
      <w:r>
        <w:rPr>
          <w:rStyle w:val="FootnoteReference"/>
        </w:rPr>
        <w:footnoteRef/>
      </w:r>
      <w:r>
        <w:t xml:space="preserve"> </w:t>
      </w:r>
      <w:r w:rsidRPr="00182CAE">
        <w:rPr>
          <w:rFonts w:ascii="Times New Roman" w:hAnsi="Times New Roman" w:cs="Times New Roman"/>
          <w:sz w:val="20"/>
          <w:szCs w:val="20"/>
        </w:rPr>
        <w:t>Denominator excludes women with missing data</w:t>
      </w:r>
    </w:p>
  </w:footnote>
  <w:footnote w:id="2">
    <w:p w:rsidR="00492F3F" w:rsidRDefault="00492F3F" w:rsidP="00A76ACB">
      <w:pPr>
        <w:pStyle w:val="FootnoteText"/>
      </w:pPr>
      <w:r>
        <w:rPr>
          <w:rStyle w:val="FootnoteReference"/>
        </w:rPr>
        <w:footnoteRef/>
      </w:r>
      <w:r>
        <w:t xml:space="preserve"> </w:t>
      </w:r>
      <w:r w:rsidRPr="0027243F">
        <w:rPr>
          <w:rFonts w:ascii="Times New Roman" w:hAnsi="Times New Roman" w:cs="Times New Roman"/>
          <w:sz w:val="20"/>
          <w:szCs w:val="20"/>
        </w:rPr>
        <w:t>Denominator excludes women with missing data</w:t>
      </w:r>
    </w:p>
  </w:footnote>
  <w:footnote w:id="3">
    <w:p w:rsidR="00492F3F" w:rsidRDefault="00492F3F" w:rsidP="00A76ACB">
      <w:pPr>
        <w:pStyle w:val="FootnoteText"/>
        <w:spacing w:after="0" w:line="240" w:lineRule="auto"/>
        <w:ind w:left="862" w:hanging="142"/>
      </w:pPr>
      <w:r w:rsidRPr="007F3ED1">
        <w:rPr>
          <w:rStyle w:val="FootnoteReference"/>
          <w:rFonts w:ascii="Times New Roman" w:hAnsi="Times New Roman" w:cs="Times New Roman"/>
          <w:sz w:val="18"/>
          <w:szCs w:val="18"/>
        </w:rPr>
        <w:footnoteRef/>
      </w:r>
      <w:r w:rsidRPr="007F3ED1">
        <w:rPr>
          <w:rFonts w:ascii="Times New Roman" w:hAnsi="Times New Roman" w:cs="Times New Roman"/>
          <w:sz w:val="18"/>
          <w:szCs w:val="18"/>
        </w:rPr>
        <w:t xml:space="preserve"> </w:t>
      </w:r>
      <w:proofErr w:type="spellStart"/>
      <w:r w:rsidRPr="007F3ED1">
        <w:rPr>
          <w:rFonts w:ascii="Times New Roman" w:hAnsi="Times New Roman" w:cs="Times New Roman"/>
          <w:sz w:val="18"/>
          <w:szCs w:val="18"/>
        </w:rPr>
        <w:t>Mirena</w:t>
      </w:r>
      <w:proofErr w:type="spellEnd"/>
      <w:r w:rsidRPr="007F3ED1">
        <w:rPr>
          <w:rFonts w:ascii="Times New Roman" w:hAnsi="Times New Roman" w:cs="Times New Roman"/>
          <w:sz w:val="18"/>
          <w:szCs w:val="18"/>
        </w:rPr>
        <w:t xml:space="preserve"> users; women who began HRT whilst still menstruating; those who have had an endometrial ablation; missing data</w:t>
      </w:r>
    </w:p>
  </w:footnote>
  <w:footnote w:id="4">
    <w:p w:rsidR="00492F3F" w:rsidRDefault="00492F3F" w:rsidP="00B8524F">
      <w:pPr>
        <w:pStyle w:val="FootnoteText"/>
        <w:spacing w:after="0" w:line="240" w:lineRule="auto"/>
        <w:ind w:left="142" w:hanging="14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9A3"/>
    <w:multiLevelType w:val="multilevel"/>
    <w:tmpl w:val="668EAE36"/>
    <w:lvl w:ilvl="0">
      <w:start w:val="1"/>
      <w:numFmt w:val="decimal"/>
      <w:lvlText w:val="%1."/>
      <w:lvlJc w:val="left"/>
      <w:pPr>
        <w:tabs>
          <w:tab w:val="num" w:pos="500"/>
        </w:tabs>
        <w:ind w:left="500" w:hanging="680"/>
      </w:pPr>
      <w:rPr>
        <w:rFonts w:ascii="Verdana" w:hAnsi="Verdana" w:cs="Verdana" w:hint="default"/>
        <w:b w:val="0"/>
        <w:bCs w:val="0"/>
        <w:i w:val="0"/>
        <w:iCs w:val="0"/>
        <w:sz w:val="36"/>
        <w:szCs w:val="36"/>
      </w:rPr>
    </w:lvl>
    <w:lvl w:ilvl="1">
      <w:start w:val="1"/>
      <w:numFmt w:val="none"/>
      <w:pStyle w:val="Heading2"/>
      <w:lvlText w:val="4.2"/>
      <w:lvlJc w:val="left"/>
      <w:pPr>
        <w:tabs>
          <w:tab w:val="num" w:pos="680"/>
        </w:tabs>
        <w:ind w:left="680" w:hanging="680"/>
      </w:pPr>
      <w:rPr>
        <w:rFonts w:ascii="Times New Roman" w:hAnsi="Times New Roman" w:cs="Times New Roman" w:hint="default"/>
        <w:color w:val="auto"/>
      </w:rPr>
    </w:lvl>
    <w:lvl w:ilvl="2">
      <w:start w:val="1"/>
      <w:numFmt w:val="decimal"/>
      <w:lvlText w:val="%1.%2.%3."/>
      <w:lvlJc w:val="left"/>
      <w:pPr>
        <w:tabs>
          <w:tab w:val="num" w:pos="680"/>
        </w:tabs>
        <w:ind w:left="680" w:hanging="680"/>
      </w:pPr>
      <w:rPr>
        <w:rFonts w:ascii="Times New Roman" w:hAnsi="Times New Roman" w:cs="Times New Roman" w:hint="default"/>
        <w:b w:val="0"/>
        <w:bCs w:val="0"/>
        <w:i w:val="0"/>
        <w:iCs w:val="0"/>
        <w:sz w:val="24"/>
        <w:szCs w:val="24"/>
      </w:rPr>
    </w:lvl>
    <w:lvl w:ilvl="3">
      <w:start w:val="1"/>
      <w:numFmt w:val="decimal"/>
      <w:pStyle w:val="Style5"/>
      <w:lvlText w:val="%1.%2.%3.%4."/>
      <w:lvlJc w:val="left"/>
      <w:pPr>
        <w:tabs>
          <w:tab w:val="num" w:pos="500"/>
        </w:tabs>
        <w:ind w:left="500" w:hanging="680"/>
      </w:pPr>
      <w:rPr>
        <w:rFonts w:hint="default"/>
        <w:b w:val="0"/>
        <w:bCs w:val="0"/>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306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414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
    <w:nsid w:val="109852BE"/>
    <w:multiLevelType w:val="hybridMultilevel"/>
    <w:tmpl w:val="1158CE8A"/>
    <w:lvl w:ilvl="0" w:tplc="FD9C0B7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1C0400"/>
    <w:multiLevelType w:val="hybridMultilevel"/>
    <w:tmpl w:val="18666C2C"/>
    <w:lvl w:ilvl="0" w:tplc="FFFFFFFF">
      <w:start w:val="1"/>
      <w:numFmt w:val="bullet"/>
      <w:lvlText w:val=""/>
      <w:lvlJc w:val="left"/>
      <w:pPr>
        <w:tabs>
          <w:tab w:val="num" w:pos="57"/>
        </w:tabs>
        <w:ind w:left="113" w:hanging="113"/>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9D65D7C"/>
    <w:multiLevelType w:val="multilevel"/>
    <w:tmpl w:val="23EEB830"/>
    <w:lvl w:ilvl="0">
      <w:start w:val="5"/>
      <w:numFmt w:val="decimal"/>
      <w:lvlText w:val="%1.12"/>
      <w:lvlJc w:val="left"/>
      <w:pPr>
        <w:tabs>
          <w:tab w:val="num" w:pos="500"/>
        </w:tabs>
        <w:ind w:left="500" w:hanging="680"/>
      </w:pPr>
      <w:rPr>
        <w:rFonts w:ascii="Times New Roman" w:hAnsi="Times New Roman" w:cs="Times New Roman" w:hint="default"/>
        <w:b w:val="0"/>
        <w:bCs w:val="0"/>
        <w:i w:val="0"/>
        <w:iCs w:val="0"/>
        <w:sz w:val="36"/>
        <w:szCs w:val="36"/>
      </w:rPr>
    </w:lvl>
    <w:lvl w:ilvl="1">
      <w:start w:val="1"/>
      <w:numFmt w:val="none"/>
      <w:lvlRestart w:val="0"/>
      <w:isLgl/>
      <w:lvlText w:val="5.12"/>
      <w:lvlJc w:val="left"/>
      <w:pPr>
        <w:tabs>
          <w:tab w:val="num" w:pos="680"/>
        </w:tabs>
        <w:ind w:left="680" w:hanging="680"/>
      </w:pPr>
      <w:rPr>
        <w:rFonts w:ascii="Times New Roman" w:hAnsi="Times New Roman" w:cs="Times New Roman" w:hint="default"/>
        <w:color w:val="auto"/>
      </w:rPr>
    </w:lvl>
    <w:lvl w:ilvl="2">
      <w:start w:val="1"/>
      <w:numFmt w:val="none"/>
      <w:lvlRestart w:val="0"/>
      <w:pStyle w:val="Style26"/>
      <w:isLgl/>
      <w:lvlText w:val="5.13.2"/>
      <w:lvlJc w:val="left"/>
      <w:pPr>
        <w:tabs>
          <w:tab w:val="num" w:pos="680"/>
        </w:tabs>
        <w:ind w:left="680" w:hanging="680"/>
      </w:pPr>
      <w:rPr>
        <w:rFonts w:ascii="Times New Roman" w:hAnsi="Times New Roman" w:cs="Times New Roman" w:hint="default"/>
        <w:b/>
        <w:bCs/>
        <w:i w:val="0"/>
        <w:iCs w:val="0"/>
        <w:sz w:val="24"/>
        <w:szCs w:val="24"/>
      </w:rPr>
    </w:lvl>
    <w:lvl w:ilvl="3">
      <w:start w:val="1"/>
      <w:numFmt w:val="decimal"/>
      <w:lvlText w:val="%1.%2.%3.%4."/>
      <w:lvlJc w:val="left"/>
      <w:pPr>
        <w:tabs>
          <w:tab w:val="num" w:pos="500"/>
        </w:tabs>
        <w:ind w:left="500" w:hanging="680"/>
      </w:pPr>
      <w:rPr>
        <w:rFonts w:hint="default"/>
        <w:b w:val="0"/>
        <w:bCs w:val="0"/>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306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414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nsid w:val="28C12F8C"/>
    <w:multiLevelType w:val="multilevel"/>
    <w:tmpl w:val="1ABE335C"/>
    <w:lvl w:ilvl="0">
      <w:start w:val="5"/>
      <w:numFmt w:val="decimal"/>
      <w:lvlText w:val="%1.12"/>
      <w:lvlJc w:val="left"/>
      <w:pPr>
        <w:tabs>
          <w:tab w:val="num" w:pos="500"/>
        </w:tabs>
        <w:ind w:left="500" w:hanging="680"/>
      </w:pPr>
      <w:rPr>
        <w:rFonts w:ascii="Times New Roman" w:hAnsi="Times New Roman" w:cs="Times New Roman" w:hint="default"/>
        <w:b w:val="0"/>
        <w:bCs w:val="0"/>
        <w:i w:val="0"/>
        <w:iCs w:val="0"/>
        <w:sz w:val="36"/>
        <w:szCs w:val="36"/>
      </w:rPr>
    </w:lvl>
    <w:lvl w:ilvl="1">
      <w:start w:val="1"/>
      <w:numFmt w:val="none"/>
      <w:lvlRestart w:val="0"/>
      <w:isLgl/>
      <w:lvlText w:val="5.12"/>
      <w:lvlJc w:val="left"/>
      <w:pPr>
        <w:tabs>
          <w:tab w:val="num" w:pos="680"/>
        </w:tabs>
        <w:ind w:left="680" w:hanging="680"/>
      </w:pPr>
      <w:rPr>
        <w:rFonts w:ascii="Times New Roman" w:hAnsi="Times New Roman" w:cs="Times New Roman" w:hint="default"/>
        <w:color w:val="auto"/>
      </w:rPr>
    </w:lvl>
    <w:lvl w:ilvl="2">
      <w:start w:val="1"/>
      <w:numFmt w:val="none"/>
      <w:lvlRestart w:val="0"/>
      <w:pStyle w:val="Style29"/>
      <w:isLgl/>
      <w:lvlText w:val="5.12.2"/>
      <w:lvlJc w:val="left"/>
      <w:pPr>
        <w:tabs>
          <w:tab w:val="num" w:pos="680"/>
        </w:tabs>
        <w:ind w:left="680" w:hanging="680"/>
      </w:pPr>
      <w:rPr>
        <w:rFonts w:ascii="Times New Roman" w:hAnsi="Times New Roman" w:cs="Times New Roman" w:hint="default"/>
        <w:b/>
        <w:bCs/>
        <w:i w:val="0"/>
        <w:iCs w:val="0"/>
        <w:sz w:val="24"/>
        <w:szCs w:val="24"/>
      </w:rPr>
    </w:lvl>
    <w:lvl w:ilvl="3">
      <w:start w:val="1"/>
      <w:numFmt w:val="decimal"/>
      <w:lvlText w:val="%4%1.%213.3.1"/>
      <w:lvlJc w:val="left"/>
      <w:pPr>
        <w:tabs>
          <w:tab w:val="num" w:pos="500"/>
        </w:tabs>
        <w:ind w:left="500" w:hanging="680"/>
      </w:pPr>
      <w:rPr>
        <w:rFonts w:hint="default"/>
        <w:b w:val="0"/>
        <w:bCs w:val="0"/>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306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414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5">
    <w:nsid w:val="36E773DD"/>
    <w:multiLevelType w:val="multilevel"/>
    <w:tmpl w:val="654CA1DE"/>
    <w:lvl w:ilvl="0">
      <w:start w:val="5"/>
      <w:numFmt w:val="decimal"/>
      <w:pStyle w:val="Style27"/>
      <w:lvlText w:val="%1.12"/>
      <w:lvlJc w:val="left"/>
      <w:pPr>
        <w:tabs>
          <w:tab w:val="num" w:pos="500"/>
        </w:tabs>
        <w:ind w:left="500" w:hanging="680"/>
      </w:pPr>
      <w:rPr>
        <w:rFonts w:ascii="Times New Roman" w:hAnsi="Times New Roman" w:cs="Times New Roman" w:hint="default"/>
        <w:b w:val="0"/>
        <w:bCs w:val="0"/>
        <w:i w:val="0"/>
        <w:iCs w:val="0"/>
        <w:sz w:val="36"/>
        <w:szCs w:val="36"/>
      </w:rPr>
    </w:lvl>
    <w:lvl w:ilvl="1">
      <w:start w:val="1"/>
      <w:numFmt w:val="none"/>
      <w:lvlRestart w:val="0"/>
      <w:isLgl/>
      <w:lvlText w:val="5.12.2"/>
      <w:lvlJc w:val="left"/>
      <w:pPr>
        <w:tabs>
          <w:tab w:val="num" w:pos="680"/>
        </w:tabs>
        <w:ind w:left="680" w:hanging="680"/>
      </w:pPr>
      <w:rPr>
        <w:rFonts w:ascii="Times New Roman" w:hAnsi="Times New Roman" w:cs="Times New Roman" w:hint="default"/>
        <w:color w:val="auto"/>
      </w:rPr>
    </w:lvl>
    <w:lvl w:ilvl="2">
      <w:start w:val="1"/>
      <w:numFmt w:val="none"/>
      <w:isLgl/>
      <w:lvlText w:val="5.13.2"/>
      <w:lvlJc w:val="left"/>
      <w:pPr>
        <w:tabs>
          <w:tab w:val="num" w:pos="680"/>
        </w:tabs>
        <w:ind w:left="680" w:hanging="680"/>
      </w:pPr>
      <w:rPr>
        <w:rFonts w:ascii="Times New Roman" w:hAnsi="Times New Roman" w:cs="Times New Roman" w:hint="default"/>
        <w:b/>
        <w:bCs/>
        <w:i w:val="0"/>
        <w:iCs w:val="0"/>
        <w:sz w:val="24"/>
        <w:szCs w:val="24"/>
      </w:rPr>
    </w:lvl>
    <w:lvl w:ilvl="3">
      <w:start w:val="1"/>
      <w:numFmt w:val="decimal"/>
      <w:lvlText w:val="%1.%213.3.1"/>
      <w:lvlJc w:val="left"/>
      <w:pPr>
        <w:tabs>
          <w:tab w:val="num" w:pos="500"/>
        </w:tabs>
        <w:ind w:left="500" w:hanging="680"/>
      </w:pPr>
      <w:rPr>
        <w:rFonts w:hint="default"/>
        <w:b w:val="0"/>
        <w:bCs w:val="0"/>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306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414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6">
    <w:nsid w:val="40497AD5"/>
    <w:multiLevelType w:val="hybridMultilevel"/>
    <w:tmpl w:val="FAD20728"/>
    <w:lvl w:ilvl="0" w:tplc="FFFFFFFF">
      <w:start w:val="1"/>
      <w:numFmt w:val="bullet"/>
      <w:lvlText w:val=""/>
      <w:lvlJc w:val="left"/>
      <w:pPr>
        <w:tabs>
          <w:tab w:val="num" w:pos="57"/>
        </w:tabs>
        <w:ind w:left="113" w:hanging="113"/>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43D206C2"/>
    <w:multiLevelType w:val="multilevel"/>
    <w:tmpl w:val="E25A5304"/>
    <w:lvl w:ilvl="0">
      <w:start w:val="3"/>
      <w:numFmt w:val="decimal"/>
      <w:lvlText w:val="%1."/>
      <w:lvlJc w:val="left"/>
      <w:pPr>
        <w:tabs>
          <w:tab w:val="num" w:pos="680"/>
        </w:tabs>
        <w:ind w:left="680" w:hanging="680"/>
      </w:pPr>
      <w:rPr>
        <w:rFonts w:ascii="Verdana" w:hAnsi="Verdana" w:cs="Verdana" w:hint="default"/>
        <w:b/>
        <w:bCs/>
        <w:i w:val="0"/>
        <w:iCs w:val="0"/>
        <w:sz w:val="36"/>
        <w:szCs w:val="36"/>
      </w:rPr>
    </w:lvl>
    <w:lvl w:ilvl="1">
      <w:start w:val="1"/>
      <w:numFmt w:val="decimal"/>
      <w:lvlText w:val="4.%2."/>
      <w:lvlJc w:val="left"/>
      <w:pPr>
        <w:tabs>
          <w:tab w:val="num" w:pos="680"/>
        </w:tabs>
        <w:ind w:left="680" w:hanging="680"/>
      </w:pPr>
      <w:rPr>
        <w:rFonts w:ascii="Times New Roman" w:hAnsi="Times New Roman" w:cs="Times New Roman" w:hint="default"/>
      </w:rPr>
    </w:lvl>
    <w:lvl w:ilvl="2">
      <w:start w:val="1"/>
      <w:numFmt w:val="decimal"/>
      <w:lvlText w:val="4.1.%3."/>
      <w:lvlJc w:val="left"/>
      <w:pPr>
        <w:tabs>
          <w:tab w:val="num" w:pos="1220"/>
        </w:tabs>
        <w:ind w:left="1220" w:hanging="68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3">
      <w:start w:val="1"/>
      <w:numFmt w:val="none"/>
      <w:lvlText w:val="4.4.2.7."/>
      <w:lvlJc w:val="left"/>
      <w:pPr>
        <w:tabs>
          <w:tab w:val="num" w:pos="680"/>
        </w:tabs>
        <w:ind w:left="680" w:hanging="6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CE2192E"/>
    <w:multiLevelType w:val="hybridMultilevel"/>
    <w:tmpl w:val="72C42A28"/>
    <w:lvl w:ilvl="0" w:tplc="FFFFFFFF">
      <w:start w:val="1"/>
      <w:numFmt w:val="bullet"/>
      <w:lvlText w:val=""/>
      <w:lvlJc w:val="left"/>
      <w:pPr>
        <w:tabs>
          <w:tab w:val="num" w:pos="57"/>
        </w:tabs>
        <w:ind w:left="113" w:hanging="113"/>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5DC214BA"/>
    <w:multiLevelType w:val="hybridMultilevel"/>
    <w:tmpl w:val="D05CF2A0"/>
    <w:lvl w:ilvl="0" w:tplc="FFFFFFFF">
      <w:start w:val="1"/>
      <w:numFmt w:val="bullet"/>
      <w:lvlText w:val=""/>
      <w:lvlJc w:val="left"/>
      <w:pPr>
        <w:tabs>
          <w:tab w:val="num" w:pos="57"/>
        </w:tabs>
        <w:ind w:left="113" w:hanging="113"/>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5E1F0A6F"/>
    <w:multiLevelType w:val="hybridMultilevel"/>
    <w:tmpl w:val="D7682C44"/>
    <w:lvl w:ilvl="0" w:tplc="EDE27576">
      <w:start w:val="5"/>
      <w:numFmt w:val="decimal"/>
      <w:pStyle w:val="Heading1"/>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740364ED"/>
    <w:multiLevelType w:val="hybridMultilevel"/>
    <w:tmpl w:val="6610D5EE"/>
    <w:lvl w:ilvl="0" w:tplc="0809000F">
      <w:start w:val="1"/>
      <w:numFmt w:val="decimal"/>
      <w:lvlText w:val="%1."/>
      <w:lvlJc w:val="left"/>
      <w:pPr>
        <w:tabs>
          <w:tab w:val="num" w:pos="550"/>
        </w:tabs>
        <w:ind w:left="550" w:hanging="360"/>
      </w:pPr>
    </w:lvl>
    <w:lvl w:ilvl="1" w:tplc="08090019">
      <w:start w:val="1"/>
      <w:numFmt w:val="lowerLetter"/>
      <w:lvlText w:val="%2."/>
      <w:lvlJc w:val="left"/>
      <w:pPr>
        <w:tabs>
          <w:tab w:val="num" w:pos="1270"/>
        </w:tabs>
        <w:ind w:left="1270" w:hanging="360"/>
      </w:pPr>
    </w:lvl>
    <w:lvl w:ilvl="2" w:tplc="0809001B">
      <w:start w:val="1"/>
      <w:numFmt w:val="lowerRoman"/>
      <w:lvlText w:val="%3."/>
      <w:lvlJc w:val="right"/>
      <w:pPr>
        <w:tabs>
          <w:tab w:val="num" w:pos="1990"/>
        </w:tabs>
        <w:ind w:left="1990" w:hanging="180"/>
      </w:pPr>
    </w:lvl>
    <w:lvl w:ilvl="3" w:tplc="0809000F">
      <w:start w:val="1"/>
      <w:numFmt w:val="decimal"/>
      <w:lvlText w:val="%4."/>
      <w:lvlJc w:val="left"/>
      <w:pPr>
        <w:tabs>
          <w:tab w:val="num" w:pos="2710"/>
        </w:tabs>
        <w:ind w:left="2710" w:hanging="360"/>
      </w:pPr>
    </w:lvl>
    <w:lvl w:ilvl="4" w:tplc="08090019">
      <w:start w:val="1"/>
      <w:numFmt w:val="lowerLetter"/>
      <w:lvlText w:val="%5."/>
      <w:lvlJc w:val="left"/>
      <w:pPr>
        <w:tabs>
          <w:tab w:val="num" w:pos="3430"/>
        </w:tabs>
        <w:ind w:left="3430" w:hanging="360"/>
      </w:pPr>
    </w:lvl>
    <w:lvl w:ilvl="5" w:tplc="0809001B">
      <w:start w:val="1"/>
      <w:numFmt w:val="lowerRoman"/>
      <w:lvlText w:val="%6."/>
      <w:lvlJc w:val="right"/>
      <w:pPr>
        <w:tabs>
          <w:tab w:val="num" w:pos="4150"/>
        </w:tabs>
        <w:ind w:left="4150" w:hanging="180"/>
      </w:pPr>
    </w:lvl>
    <w:lvl w:ilvl="6" w:tplc="0809000F">
      <w:start w:val="1"/>
      <w:numFmt w:val="decimal"/>
      <w:lvlText w:val="%7."/>
      <w:lvlJc w:val="left"/>
      <w:pPr>
        <w:tabs>
          <w:tab w:val="num" w:pos="4870"/>
        </w:tabs>
        <w:ind w:left="4870" w:hanging="360"/>
      </w:pPr>
    </w:lvl>
    <w:lvl w:ilvl="7" w:tplc="08090019">
      <w:start w:val="1"/>
      <w:numFmt w:val="lowerLetter"/>
      <w:lvlText w:val="%8."/>
      <w:lvlJc w:val="left"/>
      <w:pPr>
        <w:tabs>
          <w:tab w:val="num" w:pos="5590"/>
        </w:tabs>
        <w:ind w:left="5590" w:hanging="360"/>
      </w:pPr>
    </w:lvl>
    <w:lvl w:ilvl="8" w:tplc="0809001B">
      <w:start w:val="1"/>
      <w:numFmt w:val="lowerRoman"/>
      <w:lvlText w:val="%9."/>
      <w:lvlJc w:val="right"/>
      <w:pPr>
        <w:tabs>
          <w:tab w:val="num" w:pos="6310"/>
        </w:tabs>
        <w:ind w:left="6310" w:hanging="180"/>
      </w:pPr>
    </w:lvl>
  </w:abstractNum>
  <w:num w:numId="1">
    <w:abstractNumId w:val="0"/>
  </w:num>
  <w:num w:numId="2">
    <w:abstractNumId w:val="7"/>
  </w:num>
  <w:num w:numId="3">
    <w:abstractNumId w:val="0"/>
  </w:num>
  <w:num w:numId="4">
    <w:abstractNumId w:val="3"/>
  </w:num>
  <w:num w:numId="5">
    <w:abstractNumId w:val="5"/>
  </w:num>
  <w:num w:numId="6">
    <w:abstractNumId w:val="4"/>
    <w:lvlOverride w:ilvl="0">
      <w:lvl w:ilvl="0">
        <w:start w:val="5"/>
        <w:numFmt w:val="decimal"/>
        <w:lvlText w:val="%1.12"/>
        <w:lvlJc w:val="left"/>
        <w:pPr>
          <w:tabs>
            <w:tab w:val="num" w:pos="500"/>
          </w:tabs>
          <w:ind w:left="500" w:hanging="680"/>
        </w:pPr>
        <w:rPr>
          <w:rFonts w:ascii="Times New Roman" w:hAnsi="Times New Roman" w:cs="Times New Roman" w:hint="default"/>
          <w:b w:val="0"/>
          <w:bCs w:val="0"/>
          <w:i w:val="0"/>
          <w:iCs w:val="0"/>
          <w:sz w:val="36"/>
          <w:szCs w:val="36"/>
        </w:rPr>
      </w:lvl>
    </w:lvlOverride>
    <w:lvlOverride w:ilvl="1">
      <w:lvl w:ilvl="1">
        <w:start w:val="1"/>
        <w:numFmt w:val="none"/>
        <w:lvlRestart w:val="0"/>
        <w:isLgl/>
        <w:lvlText w:val="5.12"/>
        <w:lvlJc w:val="left"/>
        <w:pPr>
          <w:tabs>
            <w:tab w:val="num" w:pos="680"/>
          </w:tabs>
          <w:ind w:left="680" w:hanging="680"/>
        </w:pPr>
        <w:rPr>
          <w:rFonts w:ascii="Times New Roman" w:hAnsi="Times New Roman" w:cs="Times New Roman" w:hint="default"/>
          <w:color w:val="auto"/>
        </w:rPr>
      </w:lvl>
    </w:lvlOverride>
    <w:lvlOverride w:ilvl="2">
      <w:lvl w:ilvl="2">
        <w:start w:val="1"/>
        <w:numFmt w:val="none"/>
        <w:lvlRestart w:val="0"/>
        <w:pStyle w:val="Style29"/>
        <w:isLgl/>
        <w:lvlText w:val="5.12.2"/>
        <w:lvlJc w:val="left"/>
        <w:pPr>
          <w:tabs>
            <w:tab w:val="num" w:pos="680"/>
          </w:tabs>
          <w:ind w:left="680" w:hanging="680"/>
        </w:pPr>
        <w:rPr>
          <w:rFonts w:ascii="Times New Roman" w:hAnsi="Times New Roman" w:cs="Times New Roman" w:hint="default"/>
          <w:b/>
          <w:bCs/>
          <w:i w:val="0"/>
          <w:iCs w:val="0"/>
          <w:sz w:val="24"/>
          <w:szCs w:val="24"/>
        </w:rPr>
      </w:lvl>
    </w:lvlOverride>
    <w:lvlOverride w:ilvl="3">
      <w:lvl w:ilvl="3">
        <w:start w:val="5"/>
        <w:numFmt w:val="decimal"/>
        <w:lvlText w:val="%1.%213.3.1"/>
        <w:lvlJc w:val="left"/>
        <w:pPr>
          <w:tabs>
            <w:tab w:val="num" w:pos="500"/>
          </w:tabs>
          <w:ind w:left="500" w:hanging="680"/>
        </w:pPr>
        <w:rPr>
          <w:rFonts w:hint="default"/>
          <w:b w:val="0"/>
          <w:bCs w:val="0"/>
        </w:rPr>
      </w:lvl>
    </w:lvlOverride>
    <w:lvlOverride w:ilvl="4">
      <w:lvl w:ilvl="4">
        <w:start w:val="1"/>
        <w:numFmt w:val="decimal"/>
        <w:lvlText w:val="%1.%2.%3.%4.%5."/>
        <w:lvlJc w:val="left"/>
        <w:pPr>
          <w:tabs>
            <w:tab w:val="num" w:pos="2340"/>
          </w:tabs>
          <w:ind w:left="2052" w:hanging="792"/>
        </w:pPr>
        <w:rPr>
          <w:rFonts w:hint="default"/>
        </w:rPr>
      </w:lvl>
    </w:lvlOverride>
    <w:lvlOverride w:ilvl="5">
      <w:lvl w:ilvl="5">
        <w:start w:val="1"/>
        <w:numFmt w:val="decimal"/>
        <w:lvlText w:val="%1.%2.%3.%4.%5.%6."/>
        <w:lvlJc w:val="left"/>
        <w:pPr>
          <w:tabs>
            <w:tab w:val="num" w:pos="3060"/>
          </w:tabs>
          <w:ind w:left="2556" w:hanging="936"/>
        </w:pPr>
        <w:rPr>
          <w:rFonts w:hint="default"/>
        </w:rPr>
      </w:lvl>
    </w:lvlOverride>
    <w:lvlOverride w:ilvl="6">
      <w:lvl w:ilvl="6">
        <w:start w:val="1"/>
        <w:numFmt w:val="decimal"/>
        <w:lvlText w:val="%1.%2.%3.%4.%5.%6.%7."/>
        <w:lvlJc w:val="left"/>
        <w:pPr>
          <w:tabs>
            <w:tab w:val="num" w:pos="3420"/>
          </w:tabs>
          <w:ind w:left="3060" w:hanging="1080"/>
        </w:pPr>
        <w:rPr>
          <w:rFonts w:hint="default"/>
        </w:rPr>
      </w:lvl>
    </w:lvlOverride>
    <w:lvlOverride w:ilvl="7">
      <w:lvl w:ilvl="7">
        <w:start w:val="1"/>
        <w:numFmt w:val="decimal"/>
        <w:lvlText w:val="%1.%2.%3.%4.%5.%6.%7.%8."/>
        <w:lvlJc w:val="left"/>
        <w:pPr>
          <w:tabs>
            <w:tab w:val="num" w:pos="4140"/>
          </w:tabs>
          <w:ind w:left="3564" w:hanging="1224"/>
        </w:pPr>
        <w:rPr>
          <w:rFonts w:hint="default"/>
        </w:rPr>
      </w:lvl>
    </w:lvlOverride>
    <w:lvlOverride w:ilvl="8">
      <w:lvl w:ilvl="8">
        <w:start w:val="1"/>
        <w:numFmt w:val="decimal"/>
        <w:lvlText w:val="%1.%2.%3.%4.%5.%6.%7.%8.%9."/>
        <w:lvlJc w:val="left"/>
        <w:pPr>
          <w:tabs>
            <w:tab w:val="num" w:pos="4500"/>
          </w:tabs>
          <w:ind w:left="4140" w:hanging="1440"/>
        </w:pPr>
        <w:rPr>
          <w:rFonts w:hint="default"/>
        </w:rPr>
      </w:lvl>
    </w:lvlOverride>
  </w:num>
  <w:num w:numId="7">
    <w:abstractNumId w:val="4"/>
    <w:lvlOverride w:ilvl="0">
      <w:lvl w:ilvl="0">
        <w:start w:val="5"/>
        <w:numFmt w:val="decimal"/>
        <w:lvlText w:val="%1.12"/>
        <w:lvlJc w:val="left"/>
        <w:pPr>
          <w:tabs>
            <w:tab w:val="num" w:pos="500"/>
          </w:tabs>
          <w:ind w:left="500" w:hanging="680"/>
        </w:pPr>
        <w:rPr>
          <w:rFonts w:ascii="Times New Roman" w:hAnsi="Times New Roman" w:cs="Times New Roman" w:hint="default"/>
          <w:b w:val="0"/>
          <w:bCs w:val="0"/>
          <w:i w:val="0"/>
          <w:iCs w:val="0"/>
          <w:sz w:val="36"/>
          <w:szCs w:val="36"/>
        </w:rPr>
      </w:lvl>
    </w:lvlOverride>
    <w:lvlOverride w:ilvl="1">
      <w:lvl w:ilvl="1">
        <w:start w:val="1"/>
        <w:numFmt w:val="none"/>
        <w:lvlRestart w:val="0"/>
        <w:isLgl/>
        <w:lvlText w:val="5.12"/>
        <w:lvlJc w:val="left"/>
        <w:pPr>
          <w:tabs>
            <w:tab w:val="num" w:pos="680"/>
          </w:tabs>
          <w:ind w:left="680" w:hanging="680"/>
        </w:pPr>
        <w:rPr>
          <w:rFonts w:ascii="Times New Roman" w:hAnsi="Times New Roman" w:cs="Times New Roman" w:hint="default"/>
          <w:color w:val="auto"/>
        </w:rPr>
      </w:lvl>
    </w:lvlOverride>
    <w:lvlOverride w:ilvl="2">
      <w:lvl w:ilvl="2">
        <w:start w:val="1"/>
        <w:numFmt w:val="none"/>
        <w:lvlRestart w:val="0"/>
        <w:pStyle w:val="Style29"/>
        <w:isLgl/>
        <w:lvlText w:val="5.12.2"/>
        <w:lvlJc w:val="left"/>
        <w:pPr>
          <w:tabs>
            <w:tab w:val="num" w:pos="680"/>
          </w:tabs>
          <w:ind w:left="680" w:hanging="680"/>
        </w:pPr>
        <w:rPr>
          <w:rFonts w:ascii="Times New Roman" w:hAnsi="Times New Roman" w:cs="Times New Roman" w:hint="default"/>
          <w:b/>
          <w:bCs/>
          <w:i w:val="0"/>
          <w:iCs w:val="0"/>
          <w:sz w:val="24"/>
          <w:szCs w:val="24"/>
        </w:rPr>
      </w:lvl>
    </w:lvlOverride>
    <w:lvlOverride w:ilvl="3">
      <w:lvl w:ilvl="3">
        <w:start w:val="5"/>
        <w:numFmt w:val="decimal"/>
        <w:lvlRestart w:val="0"/>
        <w:lvlText w:val="%4%1.%213.3.1"/>
        <w:lvlJc w:val="left"/>
        <w:pPr>
          <w:tabs>
            <w:tab w:val="num" w:pos="500"/>
          </w:tabs>
          <w:ind w:left="500" w:hanging="680"/>
        </w:pPr>
        <w:rPr>
          <w:rFonts w:hint="default"/>
          <w:b w:val="0"/>
          <w:bCs w:val="0"/>
        </w:rPr>
      </w:lvl>
    </w:lvlOverride>
    <w:lvlOverride w:ilvl="4">
      <w:lvl w:ilvl="4">
        <w:start w:val="1"/>
        <w:numFmt w:val="decimal"/>
        <w:lvlText w:val="%1.%2.%3.%4.%5."/>
        <w:lvlJc w:val="left"/>
        <w:pPr>
          <w:tabs>
            <w:tab w:val="num" w:pos="2340"/>
          </w:tabs>
          <w:ind w:left="2052" w:hanging="792"/>
        </w:pPr>
        <w:rPr>
          <w:rFonts w:hint="default"/>
        </w:rPr>
      </w:lvl>
    </w:lvlOverride>
    <w:lvlOverride w:ilvl="5">
      <w:lvl w:ilvl="5">
        <w:start w:val="1"/>
        <w:numFmt w:val="decimal"/>
        <w:lvlText w:val="%1.%2.%3.%4.%5.%6."/>
        <w:lvlJc w:val="left"/>
        <w:pPr>
          <w:tabs>
            <w:tab w:val="num" w:pos="3060"/>
          </w:tabs>
          <w:ind w:left="2556" w:hanging="936"/>
        </w:pPr>
        <w:rPr>
          <w:rFonts w:hint="default"/>
        </w:rPr>
      </w:lvl>
    </w:lvlOverride>
    <w:lvlOverride w:ilvl="6">
      <w:lvl w:ilvl="6">
        <w:start w:val="1"/>
        <w:numFmt w:val="decimal"/>
        <w:lvlText w:val="%1.%2.%3.%4.%5.%6.%7."/>
        <w:lvlJc w:val="left"/>
        <w:pPr>
          <w:tabs>
            <w:tab w:val="num" w:pos="3420"/>
          </w:tabs>
          <w:ind w:left="3060" w:hanging="1080"/>
        </w:pPr>
        <w:rPr>
          <w:rFonts w:hint="default"/>
        </w:rPr>
      </w:lvl>
    </w:lvlOverride>
    <w:lvlOverride w:ilvl="7">
      <w:lvl w:ilvl="7">
        <w:start w:val="1"/>
        <w:numFmt w:val="decimal"/>
        <w:lvlText w:val="%1.%2.%3.%4.%5.%6.%7.%8."/>
        <w:lvlJc w:val="left"/>
        <w:pPr>
          <w:tabs>
            <w:tab w:val="num" w:pos="4140"/>
          </w:tabs>
          <w:ind w:left="3564" w:hanging="1224"/>
        </w:pPr>
        <w:rPr>
          <w:rFonts w:hint="default"/>
        </w:rPr>
      </w:lvl>
    </w:lvlOverride>
    <w:lvlOverride w:ilvl="8">
      <w:lvl w:ilvl="8">
        <w:start w:val="1"/>
        <w:numFmt w:val="decimal"/>
        <w:lvlText w:val="%1.%2.%3.%4.%5.%6.%7.%8.%9."/>
        <w:lvlJc w:val="left"/>
        <w:pPr>
          <w:tabs>
            <w:tab w:val="num" w:pos="4500"/>
          </w:tabs>
          <w:ind w:left="4140" w:hanging="1440"/>
        </w:pPr>
        <w:rPr>
          <w:rFonts w:hint="default"/>
        </w:rPr>
      </w:lvl>
    </w:lvlOverride>
  </w:num>
  <w:num w:numId="8">
    <w:abstractNumId w:val="10"/>
  </w:num>
  <w:num w:numId="9">
    <w:abstractNumId w:val="2"/>
  </w:num>
  <w:num w:numId="10">
    <w:abstractNumId w:val="9"/>
  </w:num>
  <w:num w:numId="11">
    <w:abstractNumId w:val="8"/>
  </w:num>
  <w:num w:numId="12">
    <w:abstractNumId w:val="6"/>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77A"/>
    <w:rsid w:val="00003E17"/>
    <w:rsid w:val="000115EE"/>
    <w:rsid w:val="00021469"/>
    <w:rsid w:val="00025F09"/>
    <w:rsid w:val="000307DB"/>
    <w:rsid w:val="00037813"/>
    <w:rsid w:val="000379DA"/>
    <w:rsid w:val="00040522"/>
    <w:rsid w:val="00040B5A"/>
    <w:rsid w:val="00040BA1"/>
    <w:rsid w:val="00046C88"/>
    <w:rsid w:val="0005335D"/>
    <w:rsid w:val="00053D7B"/>
    <w:rsid w:val="000548D1"/>
    <w:rsid w:val="0005591D"/>
    <w:rsid w:val="00064BE7"/>
    <w:rsid w:val="00067F84"/>
    <w:rsid w:val="000701AE"/>
    <w:rsid w:val="0007282C"/>
    <w:rsid w:val="000728D1"/>
    <w:rsid w:val="00076615"/>
    <w:rsid w:val="00090CA2"/>
    <w:rsid w:val="00094829"/>
    <w:rsid w:val="000958BF"/>
    <w:rsid w:val="00095C9F"/>
    <w:rsid w:val="000A484A"/>
    <w:rsid w:val="000A5290"/>
    <w:rsid w:val="000A62A9"/>
    <w:rsid w:val="000B6870"/>
    <w:rsid w:val="000B6CF5"/>
    <w:rsid w:val="000B72A7"/>
    <w:rsid w:val="000C601B"/>
    <w:rsid w:val="000D3A6A"/>
    <w:rsid w:val="000E15C3"/>
    <w:rsid w:val="000F31FA"/>
    <w:rsid w:val="000F42F8"/>
    <w:rsid w:val="001077C4"/>
    <w:rsid w:val="001102CD"/>
    <w:rsid w:val="00113AC9"/>
    <w:rsid w:val="00115C67"/>
    <w:rsid w:val="00123063"/>
    <w:rsid w:val="00125008"/>
    <w:rsid w:val="00130EE3"/>
    <w:rsid w:val="00131B4E"/>
    <w:rsid w:val="001330D8"/>
    <w:rsid w:val="001342CD"/>
    <w:rsid w:val="00134ABC"/>
    <w:rsid w:val="0015324D"/>
    <w:rsid w:val="0016367E"/>
    <w:rsid w:val="00166762"/>
    <w:rsid w:val="0017334B"/>
    <w:rsid w:val="00173402"/>
    <w:rsid w:val="00174F70"/>
    <w:rsid w:val="00175B93"/>
    <w:rsid w:val="00176952"/>
    <w:rsid w:val="00182CAE"/>
    <w:rsid w:val="0019548C"/>
    <w:rsid w:val="001965D6"/>
    <w:rsid w:val="001B4CBF"/>
    <w:rsid w:val="001B7B44"/>
    <w:rsid w:val="001C028C"/>
    <w:rsid w:val="001C1BFD"/>
    <w:rsid w:val="001C5046"/>
    <w:rsid w:val="001D2765"/>
    <w:rsid w:val="001D4D60"/>
    <w:rsid w:val="001D6C0E"/>
    <w:rsid w:val="001E36B3"/>
    <w:rsid w:val="001E542B"/>
    <w:rsid w:val="001F2070"/>
    <w:rsid w:val="001F5492"/>
    <w:rsid w:val="0020662C"/>
    <w:rsid w:val="00212B81"/>
    <w:rsid w:val="00222072"/>
    <w:rsid w:val="0022305E"/>
    <w:rsid w:val="00226DDA"/>
    <w:rsid w:val="002300B4"/>
    <w:rsid w:val="00232054"/>
    <w:rsid w:val="002328AB"/>
    <w:rsid w:val="00234FE1"/>
    <w:rsid w:val="00236592"/>
    <w:rsid w:val="0023746D"/>
    <w:rsid w:val="00256A13"/>
    <w:rsid w:val="00257504"/>
    <w:rsid w:val="002613FE"/>
    <w:rsid w:val="002633A2"/>
    <w:rsid w:val="002661FE"/>
    <w:rsid w:val="0027243F"/>
    <w:rsid w:val="002756D6"/>
    <w:rsid w:val="00277CC4"/>
    <w:rsid w:val="00283A52"/>
    <w:rsid w:val="002878E7"/>
    <w:rsid w:val="002907A1"/>
    <w:rsid w:val="0029165F"/>
    <w:rsid w:val="00294EA2"/>
    <w:rsid w:val="00296DAC"/>
    <w:rsid w:val="00297097"/>
    <w:rsid w:val="002A269C"/>
    <w:rsid w:val="002A3D0D"/>
    <w:rsid w:val="002A703C"/>
    <w:rsid w:val="002B33CF"/>
    <w:rsid w:val="002B42A2"/>
    <w:rsid w:val="002B6A65"/>
    <w:rsid w:val="002C7639"/>
    <w:rsid w:val="002D271B"/>
    <w:rsid w:val="002D6BBF"/>
    <w:rsid w:val="002D7E42"/>
    <w:rsid w:val="002E1AA6"/>
    <w:rsid w:val="002F7F6C"/>
    <w:rsid w:val="00301449"/>
    <w:rsid w:val="00301F16"/>
    <w:rsid w:val="003026A8"/>
    <w:rsid w:val="00314045"/>
    <w:rsid w:val="00315EC6"/>
    <w:rsid w:val="00316E1F"/>
    <w:rsid w:val="00322E83"/>
    <w:rsid w:val="00334DFA"/>
    <w:rsid w:val="003402C8"/>
    <w:rsid w:val="003408D9"/>
    <w:rsid w:val="00342CFB"/>
    <w:rsid w:val="003440E3"/>
    <w:rsid w:val="003563E9"/>
    <w:rsid w:val="00356CD4"/>
    <w:rsid w:val="003652F8"/>
    <w:rsid w:val="003665A1"/>
    <w:rsid w:val="00371D20"/>
    <w:rsid w:val="00385DCA"/>
    <w:rsid w:val="00392D38"/>
    <w:rsid w:val="003A339C"/>
    <w:rsid w:val="003A607C"/>
    <w:rsid w:val="003B515C"/>
    <w:rsid w:val="003C0BE2"/>
    <w:rsid w:val="003D142A"/>
    <w:rsid w:val="003D3385"/>
    <w:rsid w:val="003E1718"/>
    <w:rsid w:val="003E4E23"/>
    <w:rsid w:val="003E6A08"/>
    <w:rsid w:val="003F0E09"/>
    <w:rsid w:val="003F795D"/>
    <w:rsid w:val="00401A70"/>
    <w:rsid w:val="00412970"/>
    <w:rsid w:val="00421575"/>
    <w:rsid w:val="004216D5"/>
    <w:rsid w:val="00435C80"/>
    <w:rsid w:val="00441B73"/>
    <w:rsid w:val="00441EFF"/>
    <w:rsid w:val="0044658F"/>
    <w:rsid w:val="00454580"/>
    <w:rsid w:val="00457615"/>
    <w:rsid w:val="00460F80"/>
    <w:rsid w:val="00461FA7"/>
    <w:rsid w:val="0046292C"/>
    <w:rsid w:val="004640A6"/>
    <w:rsid w:val="0046710F"/>
    <w:rsid w:val="00471B62"/>
    <w:rsid w:val="00472878"/>
    <w:rsid w:val="004732AC"/>
    <w:rsid w:val="00476299"/>
    <w:rsid w:val="00477608"/>
    <w:rsid w:val="0048230E"/>
    <w:rsid w:val="004915CF"/>
    <w:rsid w:val="00492F3F"/>
    <w:rsid w:val="0049693D"/>
    <w:rsid w:val="004978A9"/>
    <w:rsid w:val="004A03CF"/>
    <w:rsid w:val="004A106F"/>
    <w:rsid w:val="004A29AC"/>
    <w:rsid w:val="004B18CA"/>
    <w:rsid w:val="004B1BAE"/>
    <w:rsid w:val="004B1E59"/>
    <w:rsid w:val="004B32A0"/>
    <w:rsid w:val="004B7A15"/>
    <w:rsid w:val="004F0D63"/>
    <w:rsid w:val="004F30B2"/>
    <w:rsid w:val="004F7158"/>
    <w:rsid w:val="004F7AF7"/>
    <w:rsid w:val="00501343"/>
    <w:rsid w:val="00503726"/>
    <w:rsid w:val="005063FC"/>
    <w:rsid w:val="005074E2"/>
    <w:rsid w:val="00507A0B"/>
    <w:rsid w:val="0052140A"/>
    <w:rsid w:val="00525782"/>
    <w:rsid w:val="005306C5"/>
    <w:rsid w:val="0053082F"/>
    <w:rsid w:val="00530D3F"/>
    <w:rsid w:val="00532C29"/>
    <w:rsid w:val="00537FB6"/>
    <w:rsid w:val="00541B8E"/>
    <w:rsid w:val="00541E07"/>
    <w:rsid w:val="00547B0E"/>
    <w:rsid w:val="00550EDF"/>
    <w:rsid w:val="00556499"/>
    <w:rsid w:val="0057137B"/>
    <w:rsid w:val="005714C2"/>
    <w:rsid w:val="00574C8A"/>
    <w:rsid w:val="00576F1A"/>
    <w:rsid w:val="0058074E"/>
    <w:rsid w:val="005824A7"/>
    <w:rsid w:val="00585ABF"/>
    <w:rsid w:val="0059335E"/>
    <w:rsid w:val="005953EB"/>
    <w:rsid w:val="00595FB2"/>
    <w:rsid w:val="005B1D21"/>
    <w:rsid w:val="005B525F"/>
    <w:rsid w:val="005C1175"/>
    <w:rsid w:val="005C256A"/>
    <w:rsid w:val="005D1243"/>
    <w:rsid w:val="005D34EC"/>
    <w:rsid w:val="005E4542"/>
    <w:rsid w:val="005E7702"/>
    <w:rsid w:val="005F2B03"/>
    <w:rsid w:val="005F3642"/>
    <w:rsid w:val="005F3C3B"/>
    <w:rsid w:val="00600658"/>
    <w:rsid w:val="0060650E"/>
    <w:rsid w:val="00606A86"/>
    <w:rsid w:val="0062035E"/>
    <w:rsid w:val="00620DE5"/>
    <w:rsid w:val="00625728"/>
    <w:rsid w:val="00627CC3"/>
    <w:rsid w:val="00630095"/>
    <w:rsid w:val="00633427"/>
    <w:rsid w:val="006415C9"/>
    <w:rsid w:val="00643000"/>
    <w:rsid w:val="00644F83"/>
    <w:rsid w:val="00645BA7"/>
    <w:rsid w:val="00647160"/>
    <w:rsid w:val="00654778"/>
    <w:rsid w:val="00654D9D"/>
    <w:rsid w:val="00656115"/>
    <w:rsid w:val="006561D8"/>
    <w:rsid w:val="006701A8"/>
    <w:rsid w:val="006715DF"/>
    <w:rsid w:val="00676448"/>
    <w:rsid w:val="00684140"/>
    <w:rsid w:val="0069173D"/>
    <w:rsid w:val="00692B09"/>
    <w:rsid w:val="006A0D63"/>
    <w:rsid w:val="006A537F"/>
    <w:rsid w:val="006B2D23"/>
    <w:rsid w:val="006B31AC"/>
    <w:rsid w:val="006B76AA"/>
    <w:rsid w:val="006C3C95"/>
    <w:rsid w:val="006D265C"/>
    <w:rsid w:val="006D3EB9"/>
    <w:rsid w:val="006D6D80"/>
    <w:rsid w:val="006E75D8"/>
    <w:rsid w:val="006F109A"/>
    <w:rsid w:val="006F3809"/>
    <w:rsid w:val="006F6171"/>
    <w:rsid w:val="006F78BC"/>
    <w:rsid w:val="00701934"/>
    <w:rsid w:val="007076F6"/>
    <w:rsid w:val="0071297D"/>
    <w:rsid w:val="00714D06"/>
    <w:rsid w:val="00715E56"/>
    <w:rsid w:val="00720530"/>
    <w:rsid w:val="0072107B"/>
    <w:rsid w:val="00723A06"/>
    <w:rsid w:val="00725DC3"/>
    <w:rsid w:val="00726A83"/>
    <w:rsid w:val="00730F88"/>
    <w:rsid w:val="00741114"/>
    <w:rsid w:val="007414F5"/>
    <w:rsid w:val="00741D70"/>
    <w:rsid w:val="00751E4A"/>
    <w:rsid w:val="00753AFC"/>
    <w:rsid w:val="007542E1"/>
    <w:rsid w:val="0075720B"/>
    <w:rsid w:val="00762B39"/>
    <w:rsid w:val="00764938"/>
    <w:rsid w:val="00771651"/>
    <w:rsid w:val="00776AB3"/>
    <w:rsid w:val="00776E45"/>
    <w:rsid w:val="0078496D"/>
    <w:rsid w:val="00786740"/>
    <w:rsid w:val="007907BA"/>
    <w:rsid w:val="007931E1"/>
    <w:rsid w:val="007A1A86"/>
    <w:rsid w:val="007A2F06"/>
    <w:rsid w:val="007A4702"/>
    <w:rsid w:val="007B2EE3"/>
    <w:rsid w:val="007C0805"/>
    <w:rsid w:val="007C0F8E"/>
    <w:rsid w:val="007C18B9"/>
    <w:rsid w:val="007C1991"/>
    <w:rsid w:val="007D1EC2"/>
    <w:rsid w:val="007E11A6"/>
    <w:rsid w:val="007E1492"/>
    <w:rsid w:val="007E772D"/>
    <w:rsid w:val="007F1291"/>
    <w:rsid w:val="007F3ED1"/>
    <w:rsid w:val="007F620D"/>
    <w:rsid w:val="00806BE2"/>
    <w:rsid w:val="0082144F"/>
    <w:rsid w:val="008223EB"/>
    <w:rsid w:val="00822CCA"/>
    <w:rsid w:val="00823002"/>
    <w:rsid w:val="008329FE"/>
    <w:rsid w:val="0083767F"/>
    <w:rsid w:val="0085096D"/>
    <w:rsid w:val="00850E3A"/>
    <w:rsid w:val="00850F67"/>
    <w:rsid w:val="0086074A"/>
    <w:rsid w:val="00861CC6"/>
    <w:rsid w:val="00873F84"/>
    <w:rsid w:val="0088161C"/>
    <w:rsid w:val="008846CC"/>
    <w:rsid w:val="008A10BA"/>
    <w:rsid w:val="008A1874"/>
    <w:rsid w:val="008A70D0"/>
    <w:rsid w:val="008B4B4C"/>
    <w:rsid w:val="008C23C0"/>
    <w:rsid w:val="008C30E4"/>
    <w:rsid w:val="008C407C"/>
    <w:rsid w:val="008C7338"/>
    <w:rsid w:val="008C7E66"/>
    <w:rsid w:val="008D52F1"/>
    <w:rsid w:val="008E0FFA"/>
    <w:rsid w:val="008E2502"/>
    <w:rsid w:val="008E4217"/>
    <w:rsid w:val="008E5076"/>
    <w:rsid w:val="008E6227"/>
    <w:rsid w:val="008E65CB"/>
    <w:rsid w:val="008F17C0"/>
    <w:rsid w:val="008F4E6E"/>
    <w:rsid w:val="008F5C56"/>
    <w:rsid w:val="00902B60"/>
    <w:rsid w:val="0090334A"/>
    <w:rsid w:val="009166EA"/>
    <w:rsid w:val="00921349"/>
    <w:rsid w:val="00927452"/>
    <w:rsid w:val="00931402"/>
    <w:rsid w:val="00936412"/>
    <w:rsid w:val="00937CEB"/>
    <w:rsid w:val="00953A90"/>
    <w:rsid w:val="00954188"/>
    <w:rsid w:val="0098087E"/>
    <w:rsid w:val="0098216B"/>
    <w:rsid w:val="00982D2E"/>
    <w:rsid w:val="00983E70"/>
    <w:rsid w:val="00986874"/>
    <w:rsid w:val="00987337"/>
    <w:rsid w:val="009A3435"/>
    <w:rsid w:val="009A35B9"/>
    <w:rsid w:val="009A72B4"/>
    <w:rsid w:val="009A73E3"/>
    <w:rsid w:val="009B048E"/>
    <w:rsid w:val="009B237D"/>
    <w:rsid w:val="009B2AAD"/>
    <w:rsid w:val="009B7A16"/>
    <w:rsid w:val="009C0B07"/>
    <w:rsid w:val="009C2F71"/>
    <w:rsid w:val="009C7551"/>
    <w:rsid w:val="009E0858"/>
    <w:rsid w:val="009E3691"/>
    <w:rsid w:val="009E5ABE"/>
    <w:rsid w:val="009F393A"/>
    <w:rsid w:val="009F4108"/>
    <w:rsid w:val="009F4B6B"/>
    <w:rsid w:val="00A03746"/>
    <w:rsid w:val="00A06716"/>
    <w:rsid w:val="00A06E1E"/>
    <w:rsid w:val="00A078D5"/>
    <w:rsid w:val="00A1052C"/>
    <w:rsid w:val="00A133B6"/>
    <w:rsid w:val="00A170AB"/>
    <w:rsid w:val="00A17BDF"/>
    <w:rsid w:val="00A20AC3"/>
    <w:rsid w:val="00A248FA"/>
    <w:rsid w:val="00A370F4"/>
    <w:rsid w:val="00A40DA2"/>
    <w:rsid w:val="00A52B20"/>
    <w:rsid w:val="00A63154"/>
    <w:rsid w:val="00A637A7"/>
    <w:rsid w:val="00A73B35"/>
    <w:rsid w:val="00A76ACB"/>
    <w:rsid w:val="00A76EF3"/>
    <w:rsid w:val="00A800D6"/>
    <w:rsid w:val="00A91E2B"/>
    <w:rsid w:val="00A95666"/>
    <w:rsid w:val="00AA2C1B"/>
    <w:rsid w:val="00AA733B"/>
    <w:rsid w:val="00AB20D5"/>
    <w:rsid w:val="00AB3759"/>
    <w:rsid w:val="00AB4878"/>
    <w:rsid w:val="00AB48C0"/>
    <w:rsid w:val="00AB4A9D"/>
    <w:rsid w:val="00AB6B4E"/>
    <w:rsid w:val="00AC67A9"/>
    <w:rsid w:val="00AD758D"/>
    <w:rsid w:val="00AE25B5"/>
    <w:rsid w:val="00AE3AAB"/>
    <w:rsid w:val="00AF38A5"/>
    <w:rsid w:val="00AF435A"/>
    <w:rsid w:val="00AF457A"/>
    <w:rsid w:val="00AF7625"/>
    <w:rsid w:val="00B01EB5"/>
    <w:rsid w:val="00B04E95"/>
    <w:rsid w:val="00B0669A"/>
    <w:rsid w:val="00B33A86"/>
    <w:rsid w:val="00B41D32"/>
    <w:rsid w:val="00B429C2"/>
    <w:rsid w:val="00B4577A"/>
    <w:rsid w:val="00B504FA"/>
    <w:rsid w:val="00B61CA1"/>
    <w:rsid w:val="00B635C9"/>
    <w:rsid w:val="00B64D55"/>
    <w:rsid w:val="00B67C4A"/>
    <w:rsid w:val="00B74966"/>
    <w:rsid w:val="00B74CAD"/>
    <w:rsid w:val="00B74CF7"/>
    <w:rsid w:val="00B75574"/>
    <w:rsid w:val="00B81883"/>
    <w:rsid w:val="00B83BCF"/>
    <w:rsid w:val="00B84AA1"/>
    <w:rsid w:val="00B8524F"/>
    <w:rsid w:val="00B9620E"/>
    <w:rsid w:val="00BA5967"/>
    <w:rsid w:val="00BC0759"/>
    <w:rsid w:val="00BC1A3C"/>
    <w:rsid w:val="00BC4D03"/>
    <w:rsid w:val="00BC5867"/>
    <w:rsid w:val="00BD1AF5"/>
    <w:rsid w:val="00BD27B2"/>
    <w:rsid w:val="00BD6618"/>
    <w:rsid w:val="00BE7279"/>
    <w:rsid w:val="00BF16DF"/>
    <w:rsid w:val="00BF331C"/>
    <w:rsid w:val="00BF351F"/>
    <w:rsid w:val="00BF485D"/>
    <w:rsid w:val="00C005F4"/>
    <w:rsid w:val="00C00E82"/>
    <w:rsid w:val="00C04567"/>
    <w:rsid w:val="00C04632"/>
    <w:rsid w:val="00C071D4"/>
    <w:rsid w:val="00C14430"/>
    <w:rsid w:val="00C168D4"/>
    <w:rsid w:val="00C16D31"/>
    <w:rsid w:val="00C26F6C"/>
    <w:rsid w:val="00C348D5"/>
    <w:rsid w:val="00C3589A"/>
    <w:rsid w:val="00C40D8B"/>
    <w:rsid w:val="00C416CA"/>
    <w:rsid w:val="00C47563"/>
    <w:rsid w:val="00C47DA1"/>
    <w:rsid w:val="00C51877"/>
    <w:rsid w:val="00C66865"/>
    <w:rsid w:val="00C70216"/>
    <w:rsid w:val="00C70F46"/>
    <w:rsid w:val="00C73229"/>
    <w:rsid w:val="00C743A0"/>
    <w:rsid w:val="00C77FA2"/>
    <w:rsid w:val="00C84CD0"/>
    <w:rsid w:val="00C90C62"/>
    <w:rsid w:val="00C930AF"/>
    <w:rsid w:val="00CA6886"/>
    <w:rsid w:val="00CC2625"/>
    <w:rsid w:val="00CC2ADE"/>
    <w:rsid w:val="00CC34FC"/>
    <w:rsid w:val="00CD29A6"/>
    <w:rsid w:val="00CD34E7"/>
    <w:rsid w:val="00CD409E"/>
    <w:rsid w:val="00CD420A"/>
    <w:rsid w:val="00CD5C24"/>
    <w:rsid w:val="00CD66CE"/>
    <w:rsid w:val="00CE182B"/>
    <w:rsid w:val="00CE75E3"/>
    <w:rsid w:val="00D129E2"/>
    <w:rsid w:val="00D20377"/>
    <w:rsid w:val="00D229BF"/>
    <w:rsid w:val="00D23D12"/>
    <w:rsid w:val="00D24B10"/>
    <w:rsid w:val="00D32B20"/>
    <w:rsid w:val="00D36A9B"/>
    <w:rsid w:val="00D37D50"/>
    <w:rsid w:val="00D37D75"/>
    <w:rsid w:val="00D46560"/>
    <w:rsid w:val="00D46B8C"/>
    <w:rsid w:val="00D531AF"/>
    <w:rsid w:val="00D533B4"/>
    <w:rsid w:val="00D5482C"/>
    <w:rsid w:val="00D564E6"/>
    <w:rsid w:val="00D60A1C"/>
    <w:rsid w:val="00D65C35"/>
    <w:rsid w:val="00D66458"/>
    <w:rsid w:val="00D737A2"/>
    <w:rsid w:val="00D81846"/>
    <w:rsid w:val="00D8319A"/>
    <w:rsid w:val="00D85A12"/>
    <w:rsid w:val="00D95718"/>
    <w:rsid w:val="00D9630B"/>
    <w:rsid w:val="00DB0A71"/>
    <w:rsid w:val="00DB0F03"/>
    <w:rsid w:val="00DB1684"/>
    <w:rsid w:val="00DB4CC6"/>
    <w:rsid w:val="00DB4D56"/>
    <w:rsid w:val="00DB6112"/>
    <w:rsid w:val="00DC0CBC"/>
    <w:rsid w:val="00DD2012"/>
    <w:rsid w:val="00DD5343"/>
    <w:rsid w:val="00DE2BB0"/>
    <w:rsid w:val="00DE567F"/>
    <w:rsid w:val="00DF680D"/>
    <w:rsid w:val="00E02096"/>
    <w:rsid w:val="00E02B26"/>
    <w:rsid w:val="00E0367A"/>
    <w:rsid w:val="00E103E8"/>
    <w:rsid w:val="00E2797A"/>
    <w:rsid w:val="00E4339E"/>
    <w:rsid w:val="00E52499"/>
    <w:rsid w:val="00E61AE1"/>
    <w:rsid w:val="00E61CAB"/>
    <w:rsid w:val="00E63CA1"/>
    <w:rsid w:val="00E64B12"/>
    <w:rsid w:val="00E71BFC"/>
    <w:rsid w:val="00E753E9"/>
    <w:rsid w:val="00E80650"/>
    <w:rsid w:val="00E87018"/>
    <w:rsid w:val="00E912E8"/>
    <w:rsid w:val="00E92C35"/>
    <w:rsid w:val="00E9450C"/>
    <w:rsid w:val="00EA0308"/>
    <w:rsid w:val="00EA0692"/>
    <w:rsid w:val="00EA1F12"/>
    <w:rsid w:val="00EA7EB0"/>
    <w:rsid w:val="00EB495C"/>
    <w:rsid w:val="00EC0D8E"/>
    <w:rsid w:val="00ED7046"/>
    <w:rsid w:val="00EE057F"/>
    <w:rsid w:val="00EE1836"/>
    <w:rsid w:val="00EE1A50"/>
    <w:rsid w:val="00EE1DB4"/>
    <w:rsid w:val="00EF374B"/>
    <w:rsid w:val="00EF4827"/>
    <w:rsid w:val="00F01DD1"/>
    <w:rsid w:val="00F10FF4"/>
    <w:rsid w:val="00F1141F"/>
    <w:rsid w:val="00F11D13"/>
    <w:rsid w:val="00F209DB"/>
    <w:rsid w:val="00F21890"/>
    <w:rsid w:val="00F25138"/>
    <w:rsid w:val="00F27799"/>
    <w:rsid w:val="00F319E3"/>
    <w:rsid w:val="00F31F66"/>
    <w:rsid w:val="00F32A2D"/>
    <w:rsid w:val="00F366F2"/>
    <w:rsid w:val="00F43F40"/>
    <w:rsid w:val="00F50A3E"/>
    <w:rsid w:val="00F54FA2"/>
    <w:rsid w:val="00F562DE"/>
    <w:rsid w:val="00F64D9E"/>
    <w:rsid w:val="00F701D1"/>
    <w:rsid w:val="00F777BB"/>
    <w:rsid w:val="00F86602"/>
    <w:rsid w:val="00F97E9A"/>
    <w:rsid w:val="00FA34A3"/>
    <w:rsid w:val="00FA4C26"/>
    <w:rsid w:val="00FA780B"/>
    <w:rsid w:val="00FB1245"/>
    <w:rsid w:val="00FC1EB8"/>
    <w:rsid w:val="00FC2300"/>
    <w:rsid w:val="00FC70A8"/>
    <w:rsid w:val="00FE4B11"/>
    <w:rsid w:val="00FF412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D1"/>
    <w:rPr>
      <w:sz w:val="24"/>
      <w:szCs w:val="24"/>
    </w:rPr>
  </w:style>
  <w:style w:type="paragraph" w:styleId="Heading1">
    <w:name w:val="heading 1"/>
    <w:basedOn w:val="Normal"/>
    <w:next w:val="Normal"/>
    <w:link w:val="Heading1Char"/>
    <w:uiPriority w:val="99"/>
    <w:qFormat/>
    <w:rsid w:val="00176952"/>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rsid w:val="0007282C"/>
    <w:pPr>
      <w:keepNext/>
      <w:numPr>
        <w:ilvl w:val="1"/>
        <w:numId w:val="3"/>
      </w:numPr>
      <w:spacing w:before="240" w:after="60" w:line="360" w:lineRule="auto"/>
      <w:outlineLvl w:val="1"/>
    </w:pPr>
    <w:rPr>
      <w:b/>
      <w:bCs/>
      <w:lang w:eastAsia="en-US"/>
    </w:rPr>
  </w:style>
  <w:style w:type="paragraph" w:styleId="Heading3">
    <w:name w:val="heading 3"/>
    <w:basedOn w:val="Normal"/>
    <w:next w:val="Normal"/>
    <w:link w:val="Heading3Char"/>
    <w:uiPriority w:val="99"/>
    <w:qFormat/>
    <w:rsid w:val="009A35B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A35B9"/>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142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D142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D142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3D142A"/>
    <w:rPr>
      <w:rFonts w:ascii="Calibri" w:hAnsi="Calibri" w:cs="Calibri"/>
      <w:b/>
      <w:bCs/>
      <w:sz w:val="28"/>
      <w:szCs w:val="28"/>
    </w:rPr>
  </w:style>
  <w:style w:type="paragraph" w:customStyle="1" w:styleId="Style5">
    <w:name w:val="Style5"/>
    <w:basedOn w:val="Normal"/>
    <w:uiPriority w:val="99"/>
    <w:rsid w:val="0007282C"/>
    <w:pPr>
      <w:numPr>
        <w:ilvl w:val="3"/>
        <w:numId w:val="3"/>
      </w:numPr>
      <w:spacing w:after="120" w:line="360" w:lineRule="auto"/>
      <w:outlineLvl w:val="3"/>
    </w:pPr>
    <w:rPr>
      <w:b/>
      <w:bCs/>
      <w:color w:val="000000"/>
      <w:lang w:eastAsia="en-US"/>
    </w:rPr>
  </w:style>
  <w:style w:type="paragraph" w:styleId="BodyText">
    <w:name w:val="Body Text"/>
    <w:basedOn w:val="Normal"/>
    <w:link w:val="BodyTextChar"/>
    <w:uiPriority w:val="99"/>
    <w:rsid w:val="009F4108"/>
    <w:pPr>
      <w:spacing w:after="120" w:line="360" w:lineRule="auto"/>
    </w:pPr>
    <w:rPr>
      <w:lang w:eastAsia="en-US"/>
    </w:rPr>
  </w:style>
  <w:style w:type="character" w:customStyle="1" w:styleId="BodyTextChar">
    <w:name w:val="Body Text Char"/>
    <w:basedOn w:val="DefaultParagraphFont"/>
    <w:link w:val="BodyText"/>
    <w:uiPriority w:val="99"/>
    <w:semiHidden/>
    <w:locked/>
    <w:rsid w:val="003D142A"/>
    <w:rPr>
      <w:sz w:val="24"/>
      <w:szCs w:val="24"/>
    </w:rPr>
  </w:style>
  <w:style w:type="paragraph" w:customStyle="1" w:styleId="Style26">
    <w:name w:val="Style26"/>
    <w:basedOn w:val="Heading3"/>
    <w:uiPriority w:val="99"/>
    <w:rsid w:val="009A35B9"/>
    <w:pPr>
      <w:numPr>
        <w:ilvl w:val="2"/>
        <w:numId w:val="4"/>
      </w:numPr>
    </w:pPr>
    <w:rPr>
      <w:rFonts w:ascii="Times New Roman" w:hAnsi="Times New Roman" w:cs="Times New Roman"/>
      <w:sz w:val="24"/>
      <w:szCs w:val="24"/>
      <w:lang w:eastAsia="en-US"/>
    </w:rPr>
  </w:style>
  <w:style w:type="paragraph" w:customStyle="1" w:styleId="Style27">
    <w:name w:val="Style27"/>
    <w:basedOn w:val="Normal"/>
    <w:uiPriority w:val="99"/>
    <w:rsid w:val="009A35B9"/>
    <w:pPr>
      <w:numPr>
        <w:numId w:val="5"/>
      </w:numPr>
      <w:spacing w:line="360" w:lineRule="auto"/>
    </w:pPr>
  </w:style>
  <w:style w:type="paragraph" w:customStyle="1" w:styleId="Style28">
    <w:name w:val="Style28"/>
    <w:basedOn w:val="Heading4"/>
    <w:uiPriority w:val="99"/>
    <w:rsid w:val="009A35B9"/>
    <w:pPr>
      <w:keepNext w:val="0"/>
      <w:spacing w:before="0" w:after="0"/>
    </w:pPr>
    <w:rPr>
      <w:b w:val="0"/>
      <w:bCs w:val="0"/>
      <w:sz w:val="24"/>
      <w:szCs w:val="24"/>
    </w:rPr>
  </w:style>
  <w:style w:type="paragraph" w:customStyle="1" w:styleId="Style29">
    <w:name w:val="Style29"/>
    <w:basedOn w:val="Heading4"/>
    <w:uiPriority w:val="99"/>
    <w:rsid w:val="009A35B9"/>
    <w:pPr>
      <w:keepNext w:val="0"/>
      <w:numPr>
        <w:ilvl w:val="2"/>
        <w:numId w:val="7"/>
      </w:numPr>
      <w:spacing w:before="0" w:after="0"/>
    </w:pPr>
    <w:rPr>
      <w:b w:val="0"/>
      <w:bCs w:val="0"/>
      <w:sz w:val="24"/>
      <w:szCs w:val="24"/>
    </w:rPr>
  </w:style>
  <w:style w:type="paragraph" w:styleId="TOC1">
    <w:name w:val="toc 1"/>
    <w:basedOn w:val="TOC2"/>
    <w:next w:val="Normal"/>
    <w:autoRedefine/>
    <w:uiPriority w:val="99"/>
    <w:semiHidden/>
    <w:rsid w:val="00A20AC3"/>
    <w:pPr>
      <w:spacing w:after="120"/>
      <w:ind w:left="238"/>
    </w:pPr>
    <w:rPr>
      <w:rFonts w:eastAsia="SimSun"/>
      <w:b/>
      <w:bCs/>
      <w:lang w:eastAsia="zh-CN"/>
    </w:rPr>
  </w:style>
  <w:style w:type="paragraph" w:styleId="TOC2">
    <w:name w:val="toc 2"/>
    <w:basedOn w:val="Normal"/>
    <w:next w:val="Normal"/>
    <w:autoRedefine/>
    <w:uiPriority w:val="99"/>
    <w:semiHidden/>
    <w:rsid w:val="00C14430"/>
    <w:pPr>
      <w:ind w:left="240"/>
    </w:pPr>
  </w:style>
  <w:style w:type="paragraph" w:styleId="TableofFigures">
    <w:name w:val="table of figures"/>
    <w:basedOn w:val="Normal"/>
    <w:next w:val="Normal"/>
    <w:uiPriority w:val="99"/>
    <w:semiHidden/>
    <w:rsid w:val="00C14430"/>
    <w:pPr>
      <w:spacing w:after="120"/>
      <w:ind w:firstLine="680"/>
    </w:pPr>
  </w:style>
  <w:style w:type="paragraph" w:styleId="NormalWeb">
    <w:name w:val="Normal (Web)"/>
    <w:basedOn w:val="Normal"/>
    <w:uiPriority w:val="99"/>
    <w:rsid w:val="00AB6B4E"/>
    <w:pPr>
      <w:spacing w:before="100" w:beforeAutospacing="1" w:after="100" w:afterAutospacing="1"/>
    </w:pPr>
  </w:style>
  <w:style w:type="paragraph" w:styleId="Footer">
    <w:name w:val="footer"/>
    <w:basedOn w:val="Normal"/>
    <w:link w:val="FooterChar"/>
    <w:uiPriority w:val="99"/>
    <w:rsid w:val="00AB6B4E"/>
    <w:pPr>
      <w:tabs>
        <w:tab w:val="center" w:pos="4153"/>
        <w:tab w:val="right" w:pos="8306"/>
      </w:tabs>
    </w:pPr>
  </w:style>
  <w:style w:type="character" w:customStyle="1" w:styleId="FooterChar">
    <w:name w:val="Footer Char"/>
    <w:basedOn w:val="DefaultParagraphFont"/>
    <w:link w:val="Footer"/>
    <w:uiPriority w:val="99"/>
    <w:locked/>
    <w:rsid w:val="003D142A"/>
    <w:rPr>
      <w:sz w:val="24"/>
      <w:szCs w:val="24"/>
    </w:rPr>
  </w:style>
  <w:style w:type="character" w:styleId="PageNumber">
    <w:name w:val="page number"/>
    <w:basedOn w:val="DefaultParagraphFont"/>
    <w:uiPriority w:val="99"/>
    <w:rsid w:val="00AB6B4E"/>
  </w:style>
  <w:style w:type="character" w:styleId="FootnoteReference">
    <w:name w:val="footnote reference"/>
    <w:basedOn w:val="DefaultParagraphFont"/>
    <w:uiPriority w:val="99"/>
    <w:semiHidden/>
    <w:rsid w:val="009A3435"/>
    <w:rPr>
      <w:rFonts w:ascii="Verdana" w:hAnsi="Verdana" w:cs="Verdana"/>
      <w:sz w:val="16"/>
      <w:szCs w:val="16"/>
      <w:vertAlign w:val="superscript"/>
    </w:rPr>
  </w:style>
  <w:style w:type="paragraph" w:styleId="FootnoteText">
    <w:name w:val="footnote text"/>
    <w:basedOn w:val="Normal"/>
    <w:link w:val="FootnoteTextChar"/>
    <w:uiPriority w:val="99"/>
    <w:semiHidden/>
    <w:rsid w:val="009A3435"/>
    <w:pPr>
      <w:tabs>
        <w:tab w:val="left" w:pos="4820"/>
      </w:tabs>
      <w:spacing w:after="120" w:line="360" w:lineRule="auto"/>
      <w:ind w:left="864" w:hanging="144"/>
    </w:pPr>
    <w:rPr>
      <w:rFonts w:ascii="Verdana" w:hAnsi="Verdana" w:cs="Verdana"/>
      <w:sz w:val="14"/>
      <w:szCs w:val="14"/>
      <w:lang w:eastAsia="en-US"/>
    </w:rPr>
  </w:style>
  <w:style w:type="character" w:customStyle="1" w:styleId="FootnoteTextChar">
    <w:name w:val="Footnote Text Char"/>
    <w:basedOn w:val="DefaultParagraphFont"/>
    <w:link w:val="FootnoteText"/>
    <w:uiPriority w:val="99"/>
    <w:semiHidden/>
    <w:locked/>
    <w:rsid w:val="009A3435"/>
    <w:rPr>
      <w:rFonts w:ascii="Verdana" w:hAnsi="Verdana" w:cs="Verdana"/>
      <w:sz w:val="14"/>
      <w:szCs w:val="14"/>
      <w:lang w:val="en-GB" w:eastAsia="en-US"/>
    </w:rPr>
  </w:style>
  <w:style w:type="paragraph" w:styleId="Caption">
    <w:name w:val="caption"/>
    <w:basedOn w:val="Normal"/>
    <w:next w:val="Normal"/>
    <w:link w:val="CaptionChar"/>
    <w:uiPriority w:val="99"/>
    <w:qFormat/>
    <w:rsid w:val="009A3435"/>
    <w:pPr>
      <w:spacing w:before="120" w:after="120"/>
    </w:pPr>
    <w:rPr>
      <w:rFonts w:ascii="Verdana" w:hAnsi="Verdana" w:cs="Verdana"/>
      <w:b/>
      <w:bCs/>
      <w:sz w:val="18"/>
      <w:szCs w:val="18"/>
      <w:lang w:eastAsia="en-US"/>
    </w:rPr>
  </w:style>
  <w:style w:type="character" w:customStyle="1" w:styleId="CaptionChar">
    <w:name w:val="Caption Char"/>
    <w:basedOn w:val="DefaultParagraphFont"/>
    <w:link w:val="Caption"/>
    <w:uiPriority w:val="99"/>
    <w:locked/>
    <w:rsid w:val="009A3435"/>
    <w:rPr>
      <w:rFonts w:ascii="Verdana" w:hAnsi="Verdana" w:cs="Verdana"/>
      <w:b/>
      <w:bCs/>
      <w:sz w:val="18"/>
      <w:szCs w:val="18"/>
      <w:lang w:val="en-GB" w:eastAsia="en-US"/>
    </w:rPr>
  </w:style>
  <w:style w:type="paragraph" w:styleId="DocumentMap">
    <w:name w:val="Document Map"/>
    <w:basedOn w:val="Normal"/>
    <w:link w:val="DocumentMapChar"/>
    <w:uiPriority w:val="99"/>
    <w:semiHidden/>
    <w:rsid w:val="00902B6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D142A"/>
    <w:rPr>
      <w:sz w:val="2"/>
      <w:szCs w:val="2"/>
    </w:rPr>
  </w:style>
  <w:style w:type="paragraph" w:styleId="BalloonText">
    <w:name w:val="Balloon Text"/>
    <w:basedOn w:val="Normal"/>
    <w:link w:val="BalloonTextChar"/>
    <w:uiPriority w:val="99"/>
    <w:semiHidden/>
    <w:rsid w:val="00315EC6"/>
    <w:rPr>
      <w:rFonts w:ascii="Tahoma" w:hAnsi="Tahoma" w:cs="Tahoma"/>
      <w:sz w:val="16"/>
      <w:szCs w:val="16"/>
    </w:rPr>
  </w:style>
  <w:style w:type="character" w:customStyle="1" w:styleId="BalloonTextChar">
    <w:name w:val="Balloon Text Char"/>
    <w:basedOn w:val="DefaultParagraphFont"/>
    <w:link w:val="BalloonText"/>
    <w:uiPriority w:val="99"/>
    <w:locked/>
    <w:rsid w:val="00315EC6"/>
    <w:rPr>
      <w:rFonts w:ascii="Tahoma" w:hAnsi="Tahoma" w:cs="Tahoma"/>
      <w:sz w:val="16"/>
      <w:szCs w:val="16"/>
    </w:rPr>
  </w:style>
  <w:style w:type="character" w:styleId="CommentReference">
    <w:name w:val="annotation reference"/>
    <w:basedOn w:val="DefaultParagraphFont"/>
    <w:uiPriority w:val="99"/>
    <w:semiHidden/>
    <w:rsid w:val="00DE2BB0"/>
    <w:rPr>
      <w:sz w:val="16"/>
      <w:szCs w:val="16"/>
    </w:rPr>
  </w:style>
  <w:style w:type="paragraph" w:styleId="CommentText">
    <w:name w:val="annotation text"/>
    <w:basedOn w:val="Normal"/>
    <w:link w:val="CommentTextChar"/>
    <w:uiPriority w:val="99"/>
    <w:semiHidden/>
    <w:rsid w:val="00DE2BB0"/>
    <w:rPr>
      <w:sz w:val="20"/>
      <w:szCs w:val="20"/>
    </w:rPr>
  </w:style>
  <w:style w:type="character" w:customStyle="1" w:styleId="CommentTextChar">
    <w:name w:val="Comment Text Char"/>
    <w:basedOn w:val="DefaultParagraphFont"/>
    <w:link w:val="CommentText"/>
    <w:uiPriority w:val="99"/>
    <w:locked/>
    <w:rsid w:val="00DE2BB0"/>
  </w:style>
  <w:style w:type="paragraph" w:styleId="CommentSubject">
    <w:name w:val="annotation subject"/>
    <w:basedOn w:val="CommentText"/>
    <w:next w:val="CommentText"/>
    <w:link w:val="CommentSubjectChar"/>
    <w:uiPriority w:val="99"/>
    <w:semiHidden/>
    <w:rsid w:val="00DE2BB0"/>
    <w:rPr>
      <w:b/>
      <w:bCs/>
    </w:rPr>
  </w:style>
  <w:style w:type="character" w:customStyle="1" w:styleId="CommentSubjectChar">
    <w:name w:val="Comment Subject Char"/>
    <w:basedOn w:val="CommentTextChar"/>
    <w:link w:val="CommentSubject"/>
    <w:uiPriority w:val="99"/>
    <w:locked/>
    <w:rsid w:val="00DE2BB0"/>
    <w:rPr>
      <w:b/>
      <w:bCs/>
    </w:rPr>
  </w:style>
  <w:style w:type="paragraph" w:styleId="Header">
    <w:name w:val="header"/>
    <w:basedOn w:val="Normal"/>
    <w:link w:val="HeaderChar"/>
    <w:uiPriority w:val="99"/>
    <w:semiHidden/>
    <w:rsid w:val="000701AE"/>
    <w:pPr>
      <w:tabs>
        <w:tab w:val="center" w:pos="4680"/>
        <w:tab w:val="right" w:pos="9360"/>
      </w:tabs>
    </w:pPr>
  </w:style>
  <w:style w:type="character" w:customStyle="1" w:styleId="HeaderChar">
    <w:name w:val="Header Char"/>
    <w:basedOn w:val="DefaultParagraphFont"/>
    <w:link w:val="Header"/>
    <w:uiPriority w:val="99"/>
    <w:semiHidden/>
    <w:locked/>
    <w:rsid w:val="000701AE"/>
    <w:rPr>
      <w:sz w:val="24"/>
      <w:szCs w:val="24"/>
    </w:rPr>
  </w:style>
  <w:style w:type="paragraph" w:styleId="ListParagraph">
    <w:name w:val="List Paragraph"/>
    <w:basedOn w:val="Normal"/>
    <w:uiPriority w:val="99"/>
    <w:qFormat/>
    <w:rsid w:val="00937CEB"/>
    <w:pPr>
      <w:ind w:left="720"/>
    </w:pPr>
  </w:style>
  <w:style w:type="paragraph" w:styleId="BodyTextIndent">
    <w:name w:val="Body Text Indent"/>
    <w:basedOn w:val="Normal"/>
    <w:link w:val="BodyTextIndentChar"/>
    <w:uiPriority w:val="99"/>
    <w:semiHidden/>
    <w:rsid w:val="009E3691"/>
    <w:pPr>
      <w:spacing w:after="120"/>
      <w:ind w:left="283"/>
    </w:pPr>
  </w:style>
  <w:style w:type="character" w:customStyle="1" w:styleId="BodyTextIndentChar">
    <w:name w:val="Body Text Indent Char"/>
    <w:basedOn w:val="DefaultParagraphFont"/>
    <w:link w:val="BodyTextIndent"/>
    <w:uiPriority w:val="99"/>
    <w:semiHidden/>
    <w:locked/>
    <w:rsid w:val="009E3691"/>
    <w:rPr>
      <w:sz w:val="24"/>
      <w:szCs w:val="24"/>
    </w:rPr>
  </w:style>
  <w:style w:type="paragraph" w:styleId="BodyTextFirstIndent2">
    <w:name w:val="Body Text First Indent 2"/>
    <w:basedOn w:val="BodyTextIndent"/>
    <w:link w:val="BodyTextFirstIndent2Char"/>
    <w:uiPriority w:val="99"/>
    <w:semiHidden/>
    <w:rsid w:val="009E3691"/>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9E3691"/>
  </w:style>
  <w:style w:type="character" w:styleId="Strong">
    <w:name w:val="Strong"/>
    <w:basedOn w:val="DefaultParagraphFont"/>
    <w:uiPriority w:val="22"/>
    <w:qFormat/>
    <w:locked/>
    <w:rsid w:val="00A133B6"/>
    <w:rPr>
      <w:b/>
      <w:bCs/>
    </w:rPr>
  </w:style>
  <w:style w:type="character" w:styleId="Hyperlink">
    <w:name w:val="Hyperlink"/>
    <w:basedOn w:val="DefaultParagraphFont"/>
    <w:uiPriority w:val="99"/>
    <w:rsid w:val="008A1874"/>
    <w:rPr>
      <w:color w:val="0000FF"/>
      <w:u w:val="single"/>
    </w:rPr>
  </w:style>
  <w:style w:type="character" w:customStyle="1" w:styleId="apple-style-span">
    <w:name w:val="apple-style-span"/>
    <w:basedOn w:val="DefaultParagraphFont"/>
    <w:uiPriority w:val="99"/>
    <w:rsid w:val="003A607C"/>
  </w:style>
  <w:style w:type="character" w:styleId="HTMLAcronym">
    <w:name w:val="HTML Acronym"/>
    <w:basedOn w:val="DefaultParagraphFont"/>
    <w:uiPriority w:val="99"/>
    <w:semiHidden/>
    <w:unhideWhenUsed/>
    <w:rsid w:val="00620D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ersen@abd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otland.gov.uk/Publications/2011/09/27084018/55" TargetMode="External"/><Relationship Id="rId4" Type="http://schemas.openxmlformats.org/officeDocument/2006/relationships/settings" Target="settings.xml"/><Relationship Id="rId9" Type="http://schemas.openxmlformats.org/officeDocument/2006/relationships/hyperlink" Target="http://www.scrol.gov.uk/scrol/common/home.jsp%20%20Accessed%2014%20March%20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7193-21E9-49D0-8081-41422955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7808</Words>
  <Characters>45615</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Factors associated with reporting “classic” menopausal symptoms differ- a cautionary tale for using the descriptor “vasomotor symptoms”</vt:lpstr>
    </vt:vector>
  </TitlesOfParts>
  <Company>University of Aberdeen</Company>
  <LinksUpToDate>false</LinksUpToDate>
  <CharactersWithSpaces>53317</CharactersWithSpaces>
  <SharedDoc>false</SharedDoc>
  <HLinks>
    <vt:vector size="18" baseType="variant">
      <vt:variant>
        <vt:i4>3080230</vt:i4>
      </vt:variant>
      <vt:variant>
        <vt:i4>6</vt:i4>
      </vt:variant>
      <vt:variant>
        <vt:i4>0</vt:i4>
      </vt:variant>
      <vt:variant>
        <vt:i4>5</vt:i4>
      </vt:variant>
      <vt:variant>
        <vt:lpwstr>http://www.scotland.gov.uk/Publications/2011/09/27084018/55</vt:lpwstr>
      </vt:variant>
      <vt:variant>
        <vt:lpwstr/>
      </vt:variant>
      <vt:variant>
        <vt:i4>5111897</vt:i4>
      </vt:variant>
      <vt:variant>
        <vt:i4>3</vt:i4>
      </vt:variant>
      <vt:variant>
        <vt:i4>0</vt:i4>
      </vt:variant>
      <vt:variant>
        <vt:i4>5</vt:i4>
      </vt:variant>
      <vt:variant>
        <vt:lpwstr>http://www.scrol.gov.uk/scrol/common/home.jsp  Accessed 14 March 2012</vt:lpwstr>
      </vt:variant>
      <vt:variant>
        <vt:lpwstr/>
      </vt:variant>
      <vt:variant>
        <vt:i4>2228230</vt:i4>
      </vt:variant>
      <vt:variant>
        <vt:i4>0</vt:i4>
      </vt:variant>
      <vt:variant>
        <vt:i4>0</vt:i4>
      </vt:variant>
      <vt:variant>
        <vt:i4>5</vt:i4>
      </vt:variant>
      <vt:variant>
        <vt:lpwstr>mailto:l.iversen@abdn.ac.uk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associated with reporting “classic” menopausal symptoms differ- a cautionary tale for using the descriptor “vasomotor symptoms”</dc:title>
  <dc:creator>Administrator</dc:creator>
  <cp:lastModifiedBy>Lisa Iversen</cp:lastModifiedBy>
  <cp:revision>5</cp:revision>
  <cp:lastPrinted>2011-09-19T13:51:00Z</cp:lastPrinted>
  <dcterms:created xsi:type="dcterms:W3CDTF">2013-08-13T13:24:00Z</dcterms:created>
  <dcterms:modified xsi:type="dcterms:W3CDTF">2013-08-13T13:26:00Z</dcterms:modified>
</cp:coreProperties>
</file>